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119DD" w:rsidRDefault="00C119DD" w14:paraId="281564AD" w14:textId="77777777"/>
    <w:p w:rsidR="00BC3C6F" w:rsidP="00954D23" w:rsidRDefault="00954D23" w14:paraId="57C413A4" w14:textId="1513409B">
      <w:pPr>
        <w:pStyle w:val="Overskrift1"/>
      </w:pPr>
      <w:r w:rsidR="00954D23">
        <w:rPr/>
        <w:t>Lillehammer-region</w:t>
      </w:r>
      <w:r w:rsidR="00FD694D">
        <w:rPr/>
        <w:t>en</w:t>
      </w:r>
      <w:r w:rsidR="00954D23">
        <w:rPr/>
        <w:t>s kriterier for et bærekraftig arrangement</w:t>
      </w:r>
      <w:r w:rsidR="005B6175">
        <w:rPr/>
        <w:t xml:space="preserve"> (oppdatert </w:t>
      </w:r>
      <w:r w:rsidR="0020766F">
        <w:rPr/>
        <w:t>01.</w:t>
      </w:r>
      <w:r w:rsidR="1AA728B3">
        <w:rPr/>
        <w:t>07</w:t>
      </w:r>
      <w:r w:rsidR="005B6175">
        <w:rPr/>
        <w:t>.202</w:t>
      </w:r>
      <w:r w:rsidR="40E97A30">
        <w:rPr/>
        <w:t>1</w:t>
      </w:r>
      <w:r w:rsidR="005B6175">
        <w:rPr/>
        <w:t>)</w:t>
      </w:r>
    </w:p>
    <w:p w:rsidR="001B62D3" w:rsidRDefault="001B62D3" w14:paraId="18326FC5" w14:textId="77777777">
      <w:pPr>
        <w:rPr>
          <w:b/>
        </w:rPr>
      </w:pPr>
    </w:p>
    <w:p w:rsidRPr="00954D23" w:rsidR="00954D23" w:rsidP="00954D23" w:rsidRDefault="00954D23" w14:paraId="7E1EC4D2" w14:textId="27C74F6E">
      <w:pPr>
        <w:rPr>
          <w:b/>
          <w:bCs/>
        </w:rPr>
      </w:pPr>
      <w:r w:rsidRPr="00954D23">
        <w:rPr>
          <w:b/>
          <w:bCs/>
        </w:rPr>
        <w:t xml:space="preserve">Visjon for arrangementer: </w:t>
      </w:r>
      <w:r w:rsidRPr="00954D23" w:rsidR="001B62D3">
        <w:rPr>
          <w:b/>
          <w:bCs/>
        </w:rPr>
        <w:t>Lillehammer-regionen skal være en komplett og tilgjengelig region for bærekraftige arrangement og arrangementsopplevelser.</w:t>
      </w:r>
    </w:p>
    <w:p w:rsidR="00954D23" w:rsidRDefault="00954D23" w14:paraId="39A5478B" w14:textId="7E3E621F"/>
    <w:p w:rsidR="00954D23" w:rsidRDefault="00954D23" w14:paraId="1C76095E" w14:textId="4CDFFB25">
      <w:r>
        <w:t>Hensikten med disse kriteriene er todelt:</w:t>
      </w:r>
    </w:p>
    <w:p w:rsidR="00954D23" w:rsidP="00954D23" w:rsidRDefault="00954D23" w14:paraId="47B289B7" w14:textId="454F07C3">
      <w:pPr>
        <w:pStyle w:val="Listeavsnitt"/>
        <w:numPr>
          <w:ilvl w:val="0"/>
          <w:numId w:val="3"/>
        </w:numPr>
      </w:pPr>
      <w:r>
        <w:t>De skal fungere som en god sjekkliste for arrangører for hvordan de kan gjøre sitt arrangement mer bærekraftig</w:t>
      </w:r>
      <w:r w:rsidR="00D541DA">
        <w:t xml:space="preserve"> </w:t>
      </w:r>
    </w:p>
    <w:p w:rsidR="00954D23" w:rsidP="00954D23" w:rsidRDefault="00954D23" w14:paraId="77AA151C" w14:textId="75AF30F6">
      <w:pPr>
        <w:pStyle w:val="Listeavsnitt"/>
        <w:numPr>
          <w:ilvl w:val="0"/>
          <w:numId w:val="3"/>
        </w:numPr>
      </w:pPr>
      <w:r>
        <w:t xml:space="preserve">Kriteriene legges til grunn i </w:t>
      </w:r>
      <w:r w:rsidRPr="00E96CA1">
        <w:t>dialogen me</w:t>
      </w:r>
      <w:r w:rsidRPr="00E96CA1" w:rsidR="0043220F">
        <w:t xml:space="preserve">llom </w:t>
      </w:r>
      <w:r w:rsidRPr="00E96CA1">
        <w:t xml:space="preserve">arrangør og </w:t>
      </w:r>
      <w:r w:rsidRPr="00E96CA1" w:rsidR="00AA659D">
        <w:t xml:space="preserve">lokale/regionale myndigheter </w:t>
      </w:r>
      <w:r>
        <w:t>for vurdering av søknader om støtte</w:t>
      </w:r>
    </w:p>
    <w:p w:rsidR="00954D23" w:rsidP="00886A7C" w:rsidRDefault="00954D23" w14:paraId="630559DE" w14:textId="77777777"/>
    <w:p w:rsidR="005A390C" w:rsidRDefault="00954D23" w14:paraId="73A136A9" w14:textId="1A1F2B5B">
      <w:r>
        <w:rPr>
          <w:noProof/>
        </w:rPr>
        <w:drawing>
          <wp:anchor distT="0" distB="0" distL="114300" distR="114300" simplePos="0" relativeHeight="251658240" behindDoc="1" locked="0" layoutInCell="1" allowOverlap="1" wp14:anchorId="41C41641" wp14:editId="198BD7F1">
            <wp:simplePos x="0" y="0"/>
            <wp:positionH relativeFrom="margin">
              <wp:posOffset>1466850</wp:posOffset>
            </wp:positionH>
            <wp:positionV relativeFrom="paragraph">
              <wp:posOffset>508000</wp:posOffset>
            </wp:positionV>
            <wp:extent cx="4257675" cy="3272790"/>
            <wp:effectExtent l="0" t="0" r="9525" b="3810"/>
            <wp:wrapTopAndBottom/>
            <wp:docPr id="1" name="Bilde 1" descr="cid:image002.png@01D500D7.E26E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2.png@01D500D7.E26EAB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C6F">
        <w:t>Bærekraft har tre likestilte bein</w:t>
      </w:r>
      <w:r w:rsidR="00722870">
        <w:t>:</w:t>
      </w:r>
      <w:r w:rsidR="00BC3C6F">
        <w:t xml:space="preserve"> økonomi, miljø og sosial</w:t>
      </w:r>
      <w:r w:rsidR="00A34BBE">
        <w:t xml:space="preserve"> bærekraft</w:t>
      </w:r>
      <w:r w:rsidR="00BC3C6F">
        <w:t xml:space="preserve">. Alle tre skal i utgangspunktet vektlegges likt. </w:t>
      </w:r>
    </w:p>
    <w:p w:rsidRPr="006D3AF5" w:rsidR="00BC3C6F" w:rsidRDefault="005A390C" w14:paraId="7F7A14E9" w14:textId="158E429D">
      <w:r w:rsidRPr="006D3AF5">
        <w:t xml:space="preserve">Det vil være </w:t>
      </w:r>
      <w:r w:rsidRPr="006D3AF5" w:rsidR="00085707">
        <w:t>en dynamisk prosess for å utvikle denne bærekraftmatrisen</w:t>
      </w:r>
      <w:r w:rsidRPr="006D3AF5" w:rsidR="000A1E53">
        <w:t xml:space="preserve">. </w:t>
      </w:r>
      <w:r w:rsidRPr="006D3AF5" w:rsidR="005B6175">
        <w:t>Dato for o</w:t>
      </w:r>
      <w:r w:rsidRPr="006D3AF5" w:rsidR="000A1E53">
        <w:t xml:space="preserve">ppdatering </w:t>
      </w:r>
      <w:r w:rsidRPr="006D3AF5" w:rsidR="005B6175">
        <w:t>settes inn</w:t>
      </w:r>
      <w:r w:rsidR="00A34BBE">
        <w:t xml:space="preserve"> øverst i dokumentet</w:t>
      </w:r>
      <w:r w:rsidRPr="006D3AF5" w:rsidR="000A1E53">
        <w:t>.</w:t>
      </w:r>
      <w:r w:rsidRPr="006D3AF5" w:rsidR="00BC3C6F">
        <w:t xml:space="preserve"> </w:t>
      </w:r>
    </w:p>
    <w:p w:rsidRPr="006D3AF5" w:rsidR="00954D23" w:rsidP="00954D23" w:rsidRDefault="00954D23" w14:paraId="2E88055A" w14:textId="6E23DE4F">
      <w:pPr>
        <w:rPr>
          <w:bCs/>
        </w:rPr>
      </w:pPr>
      <w:r w:rsidRPr="006D3AF5">
        <w:rPr>
          <w:bCs/>
        </w:rPr>
        <w:lastRenderedPageBreak/>
        <w:t>FNs bærekraftmål ligger bak alt arbeid med bærekraft. Målene er brede og omfattende, og det stilles ikke krav om at arrangører har et forhold til alle disse målene. En organisasjonskomite</w:t>
      </w:r>
      <w:r w:rsidRPr="006D3AF5" w:rsidR="004B6AA6">
        <w:rPr>
          <w:bCs/>
        </w:rPr>
        <w:t>/arrangør</w:t>
      </w:r>
      <w:r w:rsidRPr="006D3AF5">
        <w:rPr>
          <w:bCs/>
        </w:rPr>
        <w:t xml:space="preserve"> som har et bevisst forhold til hvordan arrangementet kan ha en positiv påvirkning på ett eller flere av bærekraftmålene er ønskelig.</w:t>
      </w:r>
    </w:p>
    <w:p w:rsidRPr="006D3AF5" w:rsidR="001B62D3" w:rsidP="00954D23" w:rsidRDefault="00954D23" w14:paraId="3BF7AC44" w14:textId="5576181D">
      <w:pPr>
        <w:rPr>
          <w:b/>
        </w:rPr>
      </w:pPr>
      <w:r w:rsidRPr="006D3AF5">
        <w:rPr>
          <w:noProof/>
        </w:rPr>
        <w:drawing>
          <wp:inline distT="0" distB="0" distL="0" distR="0" wp14:anchorId="45F05306" wp14:editId="2FADD4BD">
            <wp:extent cx="6288754" cy="3413468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740412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984" cy="345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3AF5" w:rsidR="00954D23" w:rsidP="00954D23" w:rsidRDefault="00954D23" w14:paraId="0F13A6C0" w14:textId="77777777">
      <w:pPr>
        <w:rPr>
          <w:b/>
        </w:rPr>
      </w:pPr>
    </w:p>
    <w:p w:rsidRPr="006D3AF5" w:rsidR="001B62D3" w:rsidP="007F5A7E" w:rsidRDefault="001B62D3" w14:paraId="279887AB" w14:textId="5CC9A85D">
      <w:pPr>
        <w:ind w:left="720"/>
        <w:rPr>
          <w:b/>
        </w:rPr>
      </w:pPr>
    </w:p>
    <w:p w:rsidRPr="006D3AF5" w:rsidR="00711A82" w:rsidRDefault="00711A82" w14:paraId="6ACF298B" w14:textId="77777777">
      <w:r w:rsidRPr="006D3AF5">
        <w:br w:type="page"/>
      </w:r>
    </w:p>
    <w:p w:rsidRPr="008A1040" w:rsidR="0078129B" w:rsidP="00711A82" w:rsidRDefault="0078129B" w14:paraId="34D0D3C9" w14:textId="3DFBA934">
      <w:pPr>
        <w:rPr>
          <w:rFonts w:ascii="Times New Roman" w:hAnsi="Times New Roman" w:eastAsia="Times New Roman" w:cs="Times New Roman"/>
          <w:b/>
          <w:bCs/>
          <w:i/>
          <w:iCs/>
          <w:szCs w:val="20"/>
          <w:lang w:eastAsia="nb-NO"/>
        </w:rPr>
      </w:pPr>
      <w:r w:rsidRPr="008A1040">
        <w:rPr>
          <w:rFonts w:ascii="Times New Roman" w:hAnsi="Times New Roman" w:eastAsia="Times New Roman" w:cs="Times New Roman"/>
          <w:b/>
          <w:bCs/>
          <w:i/>
          <w:iCs/>
          <w:szCs w:val="20"/>
          <w:lang w:eastAsia="nb-NO"/>
        </w:rPr>
        <w:lastRenderedPageBreak/>
        <w:t>Introduksjon/veiledning</w:t>
      </w:r>
      <w:r w:rsidRPr="008A1040" w:rsidR="004C0ED9">
        <w:rPr>
          <w:rFonts w:ascii="Times New Roman" w:hAnsi="Times New Roman" w:eastAsia="Times New Roman" w:cs="Times New Roman"/>
          <w:b/>
          <w:bCs/>
          <w:i/>
          <w:iCs/>
          <w:szCs w:val="20"/>
          <w:lang w:eastAsia="nb-NO"/>
        </w:rPr>
        <w:t>:</w:t>
      </w:r>
    </w:p>
    <w:p w:rsidRPr="006D3AF5" w:rsidR="0078129B" w:rsidP="00711A82" w:rsidRDefault="0078129B" w14:paraId="306CCD0B" w14:textId="77777777">
      <w:pPr>
        <w:rPr>
          <w:rFonts w:ascii="Times New Roman" w:hAnsi="Times New Roman" w:eastAsia="Times New Roman" w:cs="Times New Roman"/>
          <w:b/>
          <w:bCs/>
          <w:szCs w:val="20"/>
          <w:lang w:eastAsia="nb-NO"/>
        </w:rPr>
      </w:pPr>
    </w:p>
    <w:p w:rsidRPr="006D3AF5" w:rsidR="00711A82" w:rsidP="00711A82" w:rsidRDefault="00711A82" w14:paraId="7D337584" w14:textId="7E417685">
      <w:pPr>
        <w:rPr>
          <w:rFonts w:ascii="Times New Roman" w:hAnsi="Times New Roman" w:eastAsia="Times New Roman" w:cs="Times New Roman"/>
          <w:b/>
          <w:bCs/>
          <w:szCs w:val="20"/>
          <w:lang w:eastAsia="nb-NO"/>
        </w:rPr>
      </w:pPr>
      <w:r w:rsidRPr="006D3AF5">
        <w:rPr>
          <w:rFonts w:ascii="Times New Roman" w:hAnsi="Times New Roman" w:eastAsia="Times New Roman" w:cs="Times New Roman"/>
          <w:b/>
          <w:bCs/>
          <w:szCs w:val="20"/>
          <w:lang w:eastAsia="nb-NO"/>
        </w:rPr>
        <w:t>Hvorfor bærekraft?</w:t>
      </w:r>
    </w:p>
    <w:p w:rsidRPr="006D3AF5" w:rsidR="00711A82" w:rsidP="00711A82" w:rsidRDefault="00711A82" w14:paraId="3058CDED" w14:textId="71C9E553">
      <w:pPr>
        <w:rPr>
          <w:rFonts w:ascii="Times New Roman" w:hAnsi="Times New Roman" w:eastAsia="Times New Roman" w:cs="Times New Roman"/>
          <w:szCs w:val="20"/>
          <w:lang w:eastAsia="nb-NO"/>
        </w:rPr>
      </w:pPr>
      <w:r w:rsidRPr="006D3AF5">
        <w:rPr>
          <w:rFonts w:ascii="Times New Roman" w:hAnsi="Times New Roman" w:eastAsia="Times New Roman" w:cs="Times New Roman"/>
          <w:szCs w:val="20"/>
          <w:lang w:eastAsia="nb-NO"/>
        </w:rPr>
        <w:t>For vår region har arrangement alltid væ</w:t>
      </w:r>
      <w:r w:rsidRPr="006D3AF5" w:rsidR="00312964">
        <w:rPr>
          <w:rFonts w:ascii="Times New Roman" w:hAnsi="Times New Roman" w:eastAsia="Times New Roman" w:cs="Times New Roman"/>
          <w:szCs w:val="20"/>
          <w:lang w:eastAsia="nb-NO"/>
        </w:rPr>
        <w:t>r</w:t>
      </w:r>
      <w:r w:rsidRPr="006D3AF5">
        <w:rPr>
          <w:rFonts w:ascii="Times New Roman" w:hAnsi="Times New Roman" w:eastAsia="Times New Roman" w:cs="Times New Roman"/>
          <w:szCs w:val="20"/>
          <w:lang w:eastAsia="nb-NO"/>
        </w:rPr>
        <w:t>t viktig, det er vi kjent for og det skal vi fortsatt være kjent for. Vi har en stolt historie innenfor både kultur</w:t>
      </w:r>
      <w:r w:rsidRPr="006D3AF5" w:rsidR="00312964">
        <w:rPr>
          <w:rFonts w:ascii="Times New Roman" w:hAnsi="Times New Roman" w:eastAsia="Times New Roman" w:cs="Times New Roman"/>
          <w:szCs w:val="20"/>
          <w:lang w:eastAsia="nb-NO"/>
        </w:rPr>
        <w:t>-</w:t>
      </w:r>
      <w:r w:rsidRPr="006D3AF5">
        <w:rPr>
          <w:rFonts w:ascii="Times New Roman" w:hAnsi="Times New Roman" w:eastAsia="Times New Roman" w:cs="Times New Roman"/>
          <w:szCs w:val="20"/>
          <w:lang w:eastAsia="nb-NO"/>
        </w:rPr>
        <w:t xml:space="preserve"> og idrettsarrangement, topp som bredde</w:t>
      </w:r>
      <w:r w:rsidR="00897766">
        <w:rPr>
          <w:rFonts w:ascii="Times New Roman" w:hAnsi="Times New Roman" w:eastAsia="Times New Roman" w:cs="Times New Roman"/>
          <w:szCs w:val="20"/>
          <w:lang w:eastAsia="nb-NO"/>
        </w:rPr>
        <w:t>.</w:t>
      </w:r>
    </w:p>
    <w:p w:rsidRPr="006D3AF5" w:rsidR="00711A82" w:rsidP="00711A82" w:rsidRDefault="00711A82" w14:paraId="59E0CCBF" w14:textId="77777777">
      <w:pPr>
        <w:rPr>
          <w:rFonts w:ascii="Times New Roman" w:hAnsi="Times New Roman" w:eastAsia="Times New Roman" w:cs="Times New Roman"/>
          <w:szCs w:val="20"/>
          <w:lang w:eastAsia="nb-NO"/>
        </w:rPr>
      </w:pPr>
    </w:p>
    <w:p w:rsidRPr="006D3AF5" w:rsidR="00711A82" w:rsidP="00711A82" w:rsidRDefault="008B34C6" w14:paraId="201B9873" w14:textId="436E76CB">
      <w:pPr>
        <w:rPr>
          <w:rFonts w:ascii="Times New Roman" w:hAnsi="Times New Roman" w:eastAsia="Times New Roman" w:cs="Times New Roman"/>
          <w:szCs w:val="20"/>
          <w:lang w:eastAsia="nb-NO"/>
        </w:rPr>
      </w:pPr>
      <w:r>
        <w:rPr>
          <w:rFonts w:ascii="Times New Roman" w:hAnsi="Times New Roman" w:eastAsia="Times New Roman" w:cs="Times New Roman"/>
          <w:szCs w:val="20"/>
          <w:lang w:eastAsia="nb-NO"/>
        </w:rPr>
        <w:t>B</w:t>
      </w:r>
      <w:r w:rsidRPr="006D3AF5" w:rsidR="00711A82">
        <w:rPr>
          <w:rFonts w:ascii="Times New Roman" w:hAnsi="Times New Roman" w:eastAsia="Times New Roman" w:cs="Times New Roman"/>
          <w:szCs w:val="20"/>
          <w:lang w:eastAsia="nb-NO"/>
        </w:rPr>
        <w:t xml:space="preserve">ærekraft </w:t>
      </w:r>
      <w:r w:rsidR="008801F4">
        <w:rPr>
          <w:rFonts w:ascii="Times New Roman" w:hAnsi="Times New Roman" w:eastAsia="Times New Roman" w:cs="Times New Roman"/>
          <w:szCs w:val="20"/>
          <w:lang w:eastAsia="nb-NO"/>
        </w:rPr>
        <w:t xml:space="preserve">er en </w:t>
      </w:r>
      <w:r w:rsidRPr="006D3AF5" w:rsidR="00711A82">
        <w:rPr>
          <w:rFonts w:ascii="Times New Roman" w:hAnsi="Times New Roman" w:eastAsia="Times New Roman" w:cs="Times New Roman"/>
          <w:szCs w:val="20"/>
          <w:lang w:eastAsia="nb-NO"/>
        </w:rPr>
        <w:t xml:space="preserve">bærebjelke </w:t>
      </w:r>
      <w:r w:rsidR="008801F4">
        <w:rPr>
          <w:rFonts w:ascii="Times New Roman" w:hAnsi="Times New Roman" w:eastAsia="Times New Roman" w:cs="Times New Roman"/>
          <w:szCs w:val="20"/>
          <w:lang w:eastAsia="nb-NO"/>
        </w:rPr>
        <w:t xml:space="preserve">i </w:t>
      </w:r>
      <w:r w:rsidR="00993A88">
        <w:rPr>
          <w:rFonts w:ascii="Times New Roman" w:hAnsi="Times New Roman" w:eastAsia="Times New Roman" w:cs="Times New Roman"/>
          <w:szCs w:val="20"/>
          <w:lang w:eastAsia="nb-NO"/>
        </w:rPr>
        <w:t>regionens vedtatte arrangementsstrategi</w:t>
      </w:r>
      <w:r w:rsidR="00444984">
        <w:rPr>
          <w:rFonts w:ascii="Times New Roman" w:hAnsi="Times New Roman" w:eastAsia="Times New Roman" w:cs="Times New Roman"/>
          <w:szCs w:val="20"/>
          <w:lang w:eastAsia="nb-NO"/>
        </w:rPr>
        <w:t xml:space="preserve"> </w:t>
      </w:r>
      <w:r w:rsidRPr="00444984" w:rsidR="00444984">
        <w:rPr>
          <w:rFonts w:ascii="Times New Roman" w:hAnsi="Times New Roman" w:eastAsia="Times New Roman" w:cs="Times New Roman"/>
          <w:szCs w:val="20"/>
          <w:lang w:eastAsia="nb-NO"/>
        </w:rPr>
        <w:t>og bygger på overordnet planverk i kommunene i Lillehammerregionen</w:t>
      </w:r>
      <w:r w:rsidR="00993A88">
        <w:rPr>
          <w:rFonts w:ascii="Times New Roman" w:hAnsi="Times New Roman" w:eastAsia="Times New Roman" w:cs="Times New Roman"/>
          <w:szCs w:val="20"/>
          <w:lang w:eastAsia="nb-NO"/>
        </w:rPr>
        <w:t xml:space="preserve">. </w:t>
      </w:r>
      <w:r w:rsidR="006A5612">
        <w:rPr>
          <w:rFonts w:ascii="Times New Roman" w:hAnsi="Times New Roman" w:eastAsia="Times New Roman" w:cs="Times New Roman"/>
          <w:szCs w:val="20"/>
          <w:lang w:eastAsia="nb-NO"/>
        </w:rPr>
        <w:t xml:space="preserve">Dette kan være </w:t>
      </w:r>
      <w:r w:rsidRPr="006D3AF5" w:rsidR="00711A82">
        <w:rPr>
          <w:rFonts w:ascii="Times New Roman" w:hAnsi="Times New Roman" w:eastAsia="Times New Roman" w:cs="Times New Roman"/>
          <w:szCs w:val="20"/>
          <w:lang w:eastAsia="nb-NO"/>
        </w:rPr>
        <w:t xml:space="preserve">et felles kompass som alle våre arrangører kan styre etter uansett hvilket nivå de befinner seg på. </w:t>
      </w:r>
    </w:p>
    <w:p w:rsidRPr="006D3AF5" w:rsidR="00711A82" w:rsidP="00711A82" w:rsidRDefault="00711A82" w14:paraId="5DB43E2E" w14:textId="77777777">
      <w:pPr>
        <w:rPr>
          <w:rFonts w:ascii="Times New Roman" w:hAnsi="Times New Roman" w:eastAsia="Times New Roman" w:cs="Times New Roman"/>
          <w:szCs w:val="20"/>
          <w:lang w:eastAsia="nb-NO"/>
        </w:rPr>
      </w:pPr>
    </w:p>
    <w:p w:rsidRPr="006D3AF5" w:rsidR="00711A82" w:rsidP="00711A82" w:rsidRDefault="00711A82" w14:paraId="4127A5EB" w14:textId="77777777">
      <w:pPr>
        <w:rPr>
          <w:rFonts w:ascii="Times New Roman" w:hAnsi="Times New Roman" w:eastAsia="Times New Roman" w:cs="Times New Roman"/>
          <w:szCs w:val="20"/>
          <w:lang w:eastAsia="nb-NO"/>
        </w:rPr>
      </w:pPr>
      <w:r w:rsidRPr="006D3AF5">
        <w:rPr>
          <w:rFonts w:ascii="Times New Roman" w:hAnsi="Times New Roman" w:eastAsia="Times New Roman" w:cs="Times New Roman"/>
          <w:szCs w:val="20"/>
          <w:lang w:eastAsia="nb-NO"/>
        </w:rPr>
        <w:t xml:space="preserve">Kriteriene skal fungere som en god sjekkliste for arrangører for hvordan de kan gjøre sitt arrangement mer bærekraftig </w:t>
      </w:r>
    </w:p>
    <w:p w:rsidRPr="006D3AF5" w:rsidR="00711A82" w:rsidP="00711A82" w:rsidRDefault="00711A82" w14:paraId="2914F0AE" w14:textId="77777777">
      <w:pPr>
        <w:rPr>
          <w:rFonts w:ascii="Calibri" w:hAnsi="Calibri" w:eastAsia="Times New Roman" w:cs="Times New Roman"/>
          <w:i/>
          <w:iCs/>
          <w:sz w:val="22"/>
          <w:szCs w:val="22"/>
          <w:lang w:eastAsia="nb-NO"/>
        </w:rPr>
      </w:pPr>
    </w:p>
    <w:p w:rsidRPr="006D3AF5" w:rsidR="00711A82" w:rsidP="00711A82" w:rsidRDefault="00711A82" w14:paraId="2362018E" w14:textId="5B436860">
      <w:pPr>
        <w:rPr>
          <w:rFonts w:ascii="Calibri" w:hAnsi="Calibri" w:eastAsia="Times New Roman" w:cs="Times New Roman"/>
          <w:b/>
          <w:bCs/>
          <w:i/>
          <w:iCs/>
          <w:sz w:val="22"/>
          <w:szCs w:val="22"/>
          <w:lang w:eastAsia="nb-NO"/>
        </w:rPr>
      </w:pPr>
      <w:r w:rsidRPr="006D3AF5">
        <w:rPr>
          <w:rFonts w:ascii="Calibri" w:hAnsi="Calibri" w:eastAsia="Times New Roman" w:cs="Times New Roman"/>
          <w:b/>
          <w:bCs/>
          <w:i/>
          <w:iCs/>
          <w:sz w:val="22"/>
          <w:szCs w:val="22"/>
          <w:lang w:eastAsia="nb-NO"/>
        </w:rPr>
        <w:t xml:space="preserve">Dette skjemaet er først og fremst en hjelp til å utvikle arrangementene i en bærekraftig retning. Hovedansvaret vil ligge på den enkelte arrangør. Vår (Visit Lillehammer/Lillehammerregion vekst) oppgave handler om rådgivning og bevisstgjøring. Derfor har vi utarbeidet ei sjekkliste som vi vil </w:t>
      </w:r>
      <w:r w:rsidR="00191B65">
        <w:rPr>
          <w:rFonts w:ascii="Calibri" w:hAnsi="Calibri" w:eastAsia="Times New Roman" w:cs="Times New Roman"/>
          <w:b/>
          <w:bCs/>
          <w:i/>
          <w:iCs/>
          <w:sz w:val="22"/>
          <w:szCs w:val="22"/>
          <w:lang w:eastAsia="nb-NO"/>
        </w:rPr>
        <w:t xml:space="preserve">gjennomgå </w:t>
      </w:r>
      <w:r w:rsidRPr="006D3AF5">
        <w:rPr>
          <w:rFonts w:ascii="Calibri" w:hAnsi="Calibri" w:eastAsia="Times New Roman" w:cs="Times New Roman"/>
          <w:b/>
          <w:bCs/>
          <w:i/>
          <w:iCs/>
          <w:sz w:val="22"/>
          <w:szCs w:val="22"/>
          <w:lang w:eastAsia="nb-NO"/>
        </w:rPr>
        <w:t>sammen med de forskjellige arrangørene enten før en søknad om arrangementstilskudd sendes eller umiddelbart etter. Det beste er at de som ønsker å søke, henvender seg til oss for en samtale og gjennomgang så raskt som mulig.</w:t>
      </w:r>
    </w:p>
    <w:p w:rsidR="00711A82" w:rsidP="00711A82" w:rsidRDefault="00711A82" w14:paraId="01E25CDC" w14:textId="69B88991">
      <w:pPr>
        <w:rPr>
          <w:rFonts w:ascii="Times New Roman" w:hAnsi="Times New Roman" w:eastAsia="Times New Roman" w:cs="Times New Roman"/>
          <w:szCs w:val="20"/>
          <w:lang w:eastAsia="nb-NO"/>
        </w:rPr>
      </w:pPr>
    </w:p>
    <w:p w:rsidRPr="00B810CC" w:rsidR="00B810CC" w:rsidP="00B810CC" w:rsidRDefault="00B810CC" w14:paraId="535418DF" w14:textId="77777777">
      <w:pPr>
        <w:rPr>
          <w:rFonts w:ascii="Times New Roman" w:hAnsi="Times New Roman" w:eastAsia="Times New Roman" w:cs="Times New Roman"/>
          <w:szCs w:val="20"/>
          <w:lang w:eastAsia="nb-NO"/>
        </w:rPr>
      </w:pPr>
      <w:r w:rsidRPr="00B810CC">
        <w:rPr>
          <w:rFonts w:ascii="Times New Roman" w:hAnsi="Times New Roman" w:eastAsia="Times New Roman" w:cs="Times New Roman"/>
          <w:szCs w:val="20"/>
          <w:lang w:eastAsia="nb-NO"/>
        </w:rPr>
        <w:t>Rutiner for oppfølging:</w:t>
      </w:r>
    </w:p>
    <w:p w:rsidRPr="00D07220" w:rsidR="00B810CC" w:rsidP="00D07220" w:rsidRDefault="00B810CC" w14:paraId="5C4B0757" w14:textId="225AF39E">
      <w:pPr>
        <w:pStyle w:val="Listeavsnitt"/>
        <w:numPr>
          <w:ilvl w:val="0"/>
          <w:numId w:val="5"/>
        </w:numPr>
        <w:rPr>
          <w:rFonts w:ascii="Times New Roman" w:hAnsi="Times New Roman" w:eastAsia="Times New Roman" w:cs="Times New Roman"/>
          <w:szCs w:val="20"/>
          <w:lang w:eastAsia="nb-NO"/>
        </w:rPr>
      </w:pPr>
      <w:r w:rsidRPr="00D07220">
        <w:rPr>
          <w:rFonts w:ascii="Times New Roman" w:hAnsi="Times New Roman" w:eastAsia="Times New Roman" w:cs="Times New Roman"/>
          <w:szCs w:val="20"/>
          <w:lang w:eastAsia="nb-NO"/>
        </w:rPr>
        <w:t>Generell info om kriteriene sendes ut årlig, presenteres på samlinger for arrangører</w:t>
      </w:r>
    </w:p>
    <w:p w:rsidRPr="00D07220" w:rsidR="00B810CC" w:rsidP="00D07220" w:rsidRDefault="00B810CC" w14:paraId="456576C3" w14:textId="20E2AEA8">
      <w:pPr>
        <w:pStyle w:val="Listeavsnitt"/>
        <w:numPr>
          <w:ilvl w:val="0"/>
          <w:numId w:val="5"/>
        </w:numPr>
        <w:rPr>
          <w:rFonts w:ascii="Times New Roman" w:hAnsi="Times New Roman" w:eastAsia="Times New Roman" w:cs="Times New Roman"/>
          <w:szCs w:val="20"/>
          <w:lang w:eastAsia="nb-NO"/>
        </w:rPr>
      </w:pPr>
      <w:r w:rsidRPr="00D07220">
        <w:rPr>
          <w:rFonts w:ascii="Times New Roman" w:hAnsi="Times New Roman" w:eastAsia="Times New Roman" w:cs="Times New Roman"/>
          <w:szCs w:val="20"/>
          <w:lang w:eastAsia="nb-NO"/>
        </w:rPr>
        <w:t xml:space="preserve">Tilbud om formøte/gjennomgang for den enkelte arrangør. Alle som søker støtte eller offentlige tjenester for mer enn 20.000 skal vedlegge sin </w:t>
      </w:r>
      <w:r w:rsidRPr="00D07220" w:rsidR="00D07220">
        <w:rPr>
          <w:rFonts w:ascii="Times New Roman" w:hAnsi="Times New Roman" w:eastAsia="Times New Roman" w:cs="Times New Roman"/>
          <w:szCs w:val="20"/>
          <w:lang w:eastAsia="nb-NO"/>
        </w:rPr>
        <w:t>vu</w:t>
      </w:r>
      <w:r w:rsidRPr="00D07220">
        <w:rPr>
          <w:rFonts w:ascii="Times New Roman" w:hAnsi="Times New Roman" w:eastAsia="Times New Roman" w:cs="Times New Roman"/>
          <w:szCs w:val="20"/>
          <w:lang w:eastAsia="nb-NO"/>
        </w:rPr>
        <w:t>rdering av kriteriene</w:t>
      </w:r>
    </w:p>
    <w:p w:rsidRPr="00D07220" w:rsidR="00B810CC" w:rsidP="00D07220" w:rsidRDefault="00B810CC" w14:paraId="6089EEBB" w14:textId="033D772B">
      <w:pPr>
        <w:pStyle w:val="Listeavsnitt"/>
        <w:numPr>
          <w:ilvl w:val="0"/>
          <w:numId w:val="5"/>
        </w:numPr>
        <w:rPr>
          <w:rFonts w:ascii="Times New Roman" w:hAnsi="Times New Roman" w:eastAsia="Times New Roman" w:cs="Times New Roman"/>
          <w:szCs w:val="20"/>
          <w:lang w:eastAsia="nb-NO"/>
        </w:rPr>
      </w:pPr>
      <w:r w:rsidRPr="00D07220">
        <w:rPr>
          <w:rFonts w:ascii="Times New Roman" w:hAnsi="Times New Roman" w:eastAsia="Times New Roman" w:cs="Times New Roman"/>
          <w:szCs w:val="20"/>
          <w:lang w:eastAsia="nb-NO"/>
        </w:rPr>
        <w:t>Visit Lhmr/ LRV gir sin vurdering til aktuell saksbehandler, helst på bakgrunn av oppfølgingsmøte med arrangør</w:t>
      </w:r>
    </w:p>
    <w:p w:rsidRPr="00D07220" w:rsidR="00B810CC" w:rsidP="00D07220" w:rsidRDefault="00B810CC" w14:paraId="2698583F" w14:textId="0A010BF3">
      <w:pPr>
        <w:pStyle w:val="Listeavsnitt"/>
        <w:numPr>
          <w:ilvl w:val="0"/>
          <w:numId w:val="5"/>
        </w:numPr>
        <w:rPr>
          <w:rFonts w:ascii="Times New Roman" w:hAnsi="Times New Roman" w:eastAsia="Times New Roman" w:cs="Times New Roman"/>
          <w:szCs w:val="20"/>
          <w:lang w:eastAsia="nb-NO"/>
        </w:rPr>
      </w:pPr>
      <w:r w:rsidRPr="00D07220">
        <w:rPr>
          <w:rFonts w:ascii="Times New Roman" w:hAnsi="Times New Roman" w:eastAsia="Times New Roman" w:cs="Times New Roman"/>
          <w:szCs w:val="20"/>
          <w:lang w:eastAsia="nb-NO"/>
        </w:rPr>
        <w:t>Intensjonen er at arbeidet skal være en naturlig del av arrangørs planlegging og gjennomføring, og oppdateres for hvert arrangement</w:t>
      </w:r>
    </w:p>
    <w:p w:rsidRPr="00D07220" w:rsidR="00B810CC" w:rsidP="00D07220" w:rsidRDefault="00B810CC" w14:paraId="3D7E3A56" w14:textId="1464247F">
      <w:pPr>
        <w:pStyle w:val="Listeavsnitt"/>
        <w:numPr>
          <w:ilvl w:val="0"/>
          <w:numId w:val="5"/>
        </w:numPr>
        <w:rPr>
          <w:rFonts w:ascii="Times New Roman" w:hAnsi="Times New Roman" w:eastAsia="Times New Roman" w:cs="Times New Roman"/>
          <w:szCs w:val="20"/>
          <w:lang w:eastAsia="nb-NO"/>
        </w:rPr>
      </w:pPr>
      <w:r w:rsidRPr="00D07220">
        <w:rPr>
          <w:rFonts w:ascii="Times New Roman" w:hAnsi="Times New Roman" w:eastAsia="Times New Roman" w:cs="Times New Roman"/>
          <w:szCs w:val="20"/>
          <w:lang w:eastAsia="nb-NO"/>
        </w:rPr>
        <w:t>Det er en intensjon at alle store jevnlige arrangement blir formelt sertifisert som bærekraftige/miljøgodkjente arrangement</w:t>
      </w:r>
    </w:p>
    <w:p w:rsidRPr="00D07220" w:rsidR="00B810CC" w:rsidP="00D07220" w:rsidRDefault="00B810CC" w14:paraId="6782674D" w14:textId="2ED32369">
      <w:pPr>
        <w:pStyle w:val="Listeavsnitt"/>
        <w:numPr>
          <w:ilvl w:val="0"/>
          <w:numId w:val="5"/>
        </w:numPr>
        <w:rPr>
          <w:rFonts w:ascii="Times New Roman" w:hAnsi="Times New Roman" w:eastAsia="Times New Roman" w:cs="Times New Roman"/>
          <w:szCs w:val="20"/>
          <w:lang w:eastAsia="nb-NO"/>
        </w:rPr>
      </w:pPr>
      <w:r w:rsidRPr="00D07220">
        <w:rPr>
          <w:rFonts w:ascii="Times New Roman" w:hAnsi="Times New Roman" w:eastAsia="Times New Roman" w:cs="Times New Roman"/>
          <w:szCs w:val="20"/>
          <w:lang w:eastAsia="nb-NO"/>
        </w:rPr>
        <w:t>Arrangør har ansvaret for oppdatering og oppfølging. Visit Lhmr/LRV/kommunekontaktene kan gi råd.</w:t>
      </w:r>
    </w:p>
    <w:p w:rsidR="00B810CC" w:rsidP="00711A82" w:rsidRDefault="00B810CC" w14:paraId="73B0C285" w14:textId="77777777">
      <w:pPr>
        <w:rPr>
          <w:rFonts w:ascii="Times New Roman" w:hAnsi="Times New Roman" w:eastAsia="Times New Roman" w:cs="Times New Roman"/>
          <w:szCs w:val="20"/>
          <w:lang w:eastAsia="nb-NO"/>
        </w:rPr>
      </w:pPr>
    </w:p>
    <w:p w:rsidRPr="006D3AF5" w:rsidR="00711A82" w:rsidP="00711A82" w:rsidRDefault="00711A82" w14:paraId="64112735" w14:textId="0131EF2A">
      <w:pPr>
        <w:rPr>
          <w:rFonts w:ascii="Times New Roman" w:hAnsi="Times New Roman" w:eastAsia="Times New Roman" w:cs="Times New Roman"/>
          <w:szCs w:val="20"/>
          <w:lang w:eastAsia="nb-NO"/>
        </w:rPr>
      </w:pPr>
      <w:r w:rsidRPr="006D3AF5">
        <w:rPr>
          <w:rFonts w:ascii="Times New Roman" w:hAnsi="Times New Roman" w:eastAsia="Times New Roman" w:cs="Times New Roman"/>
          <w:szCs w:val="20"/>
          <w:lang w:eastAsia="nb-NO"/>
        </w:rPr>
        <w:t xml:space="preserve">Kriteriene </w:t>
      </w:r>
      <w:r w:rsidRPr="006D3AF5" w:rsidR="00323256">
        <w:rPr>
          <w:rFonts w:ascii="Times New Roman" w:hAnsi="Times New Roman" w:eastAsia="Times New Roman" w:cs="Times New Roman"/>
          <w:szCs w:val="20"/>
          <w:lang w:eastAsia="nb-NO"/>
        </w:rPr>
        <w:t xml:space="preserve">skal </w:t>
      </w:r>
      <w:r w:rsidRPr="006D3AF5">
        <w:rPr>
          <w:rFonts w:ascii="Times New Roman" w:hAnsi="Times New Roman" w:eastAsia="Times New Roman" w:cs="Times New Roman"/>
          <w:szCs w:val="20"/>
          <w:lang w:eastAsia="nb-NO"/>
        </w:rPr>
        <w:t>legges til grunn i dialogen med arrangører for vurdering av søknader om offentlig støtte</w:t>
      </w:r>
      <w:r w:rsidRPr="006D3AF5" w:rsidR="005C52EB">
        <w:rPr>
          <w:rFonts w:ascii="Times New Roman" w:hAnsi="Times New Roman" w:eastAsia="Times New Roman" w:cs="Times New Roman"/>
          <w:szCs w:val="20"/>
          <w:lang w:eastAsia="nb-NO"/>
        </w:rPr>
        <w:t xml:space="preserve"> dersom </w:t>
      </w:r>
      <w:r w:rsidRPr="006D3AF5" w:rsidR="00BB74A5">
        <w:rPr>
          <w:rFonts w:ascii="Times New Roman" w:hAnsi="Times New Roman" w:eastAsia="Times New Roman" w:cs="Times New Roman"/>
          <w:szCs w:val="20"/>
          <w:lang w:eastAsia="nb-NO"/>
        </w:rPr>
        <w:t xml:space="preserve">verdi av tjenester og tilskudd utgjør mer enn kr 20.000. </w:t>
      </w:r>
      <w:r w:rsidRPr="006D3AF5">
        <w:rPr>
          <w:rFonts w:ascii="Times New Roman" w:hAnsi="Times New Roman" w:eastAsia="Times New Roman" w:cs="Times New Roman"/>
          <w:szCs w:val="20"/>
          <w:lang w:eastAsia="nb-NO"/>
        </w:rPr>
        <w:t xml:space="preserve"> I den forbindelse er det naturlig å knytte noen kommentarer til de forskjellige kapitlene.</w:t>
      </w:r>
    </w:p>
    <w:p w:rsidRPr="006D3AF5" w:rsidR="00711A82" w:rsidP="00711A82" w:rsidRDefault="00711A82" w14:paraId="0119FA72" w14:textId="77777777">
      <w:pPr>
        <w:rPr>
          <w:rFonts w:ascii="Times New Roman" w:hAnsi="Times New Roman" w:eastAsia="Times New Roman" w:cs="Times New Roman"/>
          <w:szCs w:val="20"/>
          <w:lang w:eastAsia="nb-NO"/>
        </w:rPr>
      </w:pPr>
    </w:p>
    <w:p w:rsidRPr="006D3AF5" w:rsidR="00711A82" w:rsidP="00711A82" w:rsidRDefault="00711A82" w14:paraId="5CA997E4" w14:textId="77777777">
      <w:pPr>
        <w:rPr>
          <w:rFonts w:ascii="Times New Roman" w:hAnsi="Times New Roman" w:eastAsia="Times New Roman" w:cs="Times New Roman"/>
          <w:b/>
          <w:bCs/>
          <w:szCs w:val="20"/>
          <w:lang w:eastAsia="nb-NO"/>
        </w:rPr>
      </w:pPr>
      <w:r w:rsidRPr="006D3AF5">
        <w:rPr>
          <w:rFonts w:ascii="Times New Roman" w:hAnsi="Times New Roman" w:eastAsia="Times New Roman" w:cs="Times New Roman"/>
          <w:szCs w:val="20"/>
          <w:lang w:eastAsia="nb-NO"/>
        </w:rPr>
        <w:t xml:space="preserve"> </w:t>
      </w:r>
      <w:r w:rsidRPr="006D3AF5">
        <w:rPr>
          <w:rFonts w:ascii="Times New Roman" w:hAnsi="Times New Roman" w:eastAsia="Times New Roman" w:cs="Times New Roman"/>
          <w:b/>
          <w:bCs/>
          <w:szCs w:val="20"/>
          <w:lang w:eastAsia="nb-NO"/>
        </w:rPr>
        <w:t>Økonomi</w:t>
      </w:r>
      <w:r w:rsidRPr="006D3AF5">
        <w:rPr>
          <w:rFonts w:ascii="Times New Roman" w:hAnsi="Times New Roman" w:eastAsia="Times New Roman" w:cs="Times New Roman"/>
          <w:b/>
          <w:bCs/>
          <w:szCs w:val="20"/>
          <w:lang w:eastAsia="nb-NO"/>
        </w:rPr>
        <w:fldChar w:fldCharType="begin"/>
      </w:r>
      <w:r w:rsidRPr="006D3AF5">
        <w:rPr>
          <w:rFonts w:ascii="Times New Roman" w:hAnsi="Times New Roman" w:eastAsia="Times New Roman" w:cs="Times New Roman"/>
          <w:b/>
          <w:bCs/>
          <w:szCs w:val="20"/>
          <w:lang w:eastAsia="nb-NO"/>
        </w:rPr>
        <w:instrText xml:space="preserve">  </w:instrText>
      </w:r>
      <w:r w:rsidRPr="006D3AF5">
        <w:rPr>
          <w:rFonts w:ascii="Times New Roman" w:hAnsi="Times New Roman" w:eastAsia="Times New Roman" w:cs="Times New Roman"/>
          <w:b/>
          <w:bCs/>
          <w:szCs w:val="20"/>
          <w:lang w:eastAsia="nb-NO"/>
        </w:rPr>
        <w:fldChar w:fldCharType="end"/>
      </w:r>
      <w:r w:rsidRPr="006D3AF5">
        <w:rPr>
          <w:rFonts w:ascii="Times New Roman" w:hAnsi="Times New Roman" w:eastAsia="Times New Roman" w:cs="Times New Roman"/>
          <w:b/>
          <w:bCs/>
          <w:szCs w:val="20"/>
          <w:lang w:eastAsia="nb-NO"/>
        </w:rPr>
        <w:fldChar w:fldCharType="begin"/>
      </w:r>
      <w:r w:rsidRPr="006D3AF5">
        <w:rPr>
          <w:rFonts w:ascii="Times New Roman" w:hAnsi="Times New Roman" w:eastAsia="Times New Roman" w:cs="Times New Roman"/>
          <w:b/>
          <w:bCs/>
          <w:szCs w:val="20"/>
          <w:lang w:eastAsia="nb-NO"/>
        </w:rPr>
        <w:instrText xml:space="preserve">  </w:instrText>
      </w:r>
      <w:r w:rsidRPr="006D3AF5">
        <w:rPr>
          <w:rFonts w:ascii="Times New Roman" w:hAnsi="Times New Roman" w:eastAsia="Times New Roman" w:cs="Times New Roman"/>
          <w:b/>
          <w:bCs/>
          <w:szCs w:val="20"/>
          <w:lang w:eastAsia="nb-NO"/>
        </w:rPr>
        <w:fldChar w:fldCharType="end"/>
      </w:r>
    </w:p>
    <w:p w:rsidRPr="006D3AF5" w:rsidR="00711A82" w:rsidP="00711A82" w:rsidRDefault="00711A82" w14:paraId="1774FDBB" w14:textId="5BF0E69E">
      <w:pPr>
        <w:rPr>
          <w:rFonts w:ascii="Times New Roman" w:hAnsi="Times New Roman" w:eastAsia="Times New Roman" w:cs="Times New Roman"/>
          <w:szCs w:val="20"/>
          <w:lang w:eastAsia="nb-NO"/>
        </w:rPr>
      </w:pPr>
      <w:r w:rsidRPr="006D3AF5">
        <w:rPr>
          <w:rFonts w:ascii="Times New Roman" w:hAnsi="Times New Roman" w:eastAsia="Times New Roman" w:cs="Times New Roman"/>
          <w:szCs w:val="20"/>
          <w:lang w:eastAsia="nb-NO"/>
        </w:rPr>
        <w:t xml:space="preserve">Hva skal til for at et arrangement er bærekraftig økonomisk?  Regnskap og budsjett er i så måte </w:t>
      </w:r>
      <w:r w:rsidRPr="006D3AF5" w:rsidR="00DE5D38">
        <w:rPr>
          <w:rFonts w:ascii="Times New Roman" w:hAnsi="Times New Roman" w:eastAsia="Times New Roman" w:cs="Times New Roman"/>
          <w:szCs w:val="20"/>
          <w:lang w:eastAsia="nb-NO"/>
        </w:rPr>
        <w:t>enklest</w:t>
      </w:r>
      <w:r w:rsidRPr="006D3AF5">
        <w:rPr>
          <w:rFonts w:ascii="Times New Roman" w:hAnsi="Times New Roman" w:eastAsia="Times New Roman" w:cs="Times New Roman"/>
          <w:szCs w:val="20"/>
          <w:lang w:eastAsia="nb-NO"/>
        </w:rPr>
        <w:t xml:space="preserve"> å måle. Regional verdiskapning eller meromsetning er litt verre. Arrangement som generer</w:t>
      </w:r>
      <w:r w:rsidRPr="006D3AF5" w:rsidR="00E11605">
        <w:rPr>
          <w:rFonts w:ascii="Times New Roman" w:hAnsi="Times New Roman" w:eastAsia="Times New Roman" w:cs="Times New Roman"/>
          <w:szCs w:val="20"/>
          <w:lang w:eastAsia="nb-NO"/>
        </w:rPr>
        <w:t>er</w:t>
      </w:r>
      <w:r w:rsidRPr="006D3AF5">
        <w:rPr>
          <w:rFonts w:ascii="Times New Roman" w:hAnsi="Times New Roman" w:eastAsia="Times New Roman" w:cs="Times New Roman"/>
          <w:szCs w:val="20"/>
          <w:lang w:eastAsia="nb-NO"/>
        </w:rPr>
        <w:t xml:space="preserve"> overnatting/tilreisende, mer salg i form av kjøp av lokale varer og tjenester. Bruk av lokale leverandører likeså. Investeringer i form av både ny</w:t>
      </w:r>
      <w:r w:rsidRPr="006D3AF5" w:rsidR="00533C8D">
        <w:rPr>
          <w:rFonts w:ascii="Times New Roman" w:hAnsi="Times New Roman" w:eastAsia="Times New Roman" w:cs="Times New Roman"/>
          <w:szCs w:val="20"/>
          <w:lang w:eastAsia="nb-NO"/>
        </w:rPr>
        <w:t>tt materiell og utstyr,</w:t>
      </w:r>
      <w:r w:rsidRPr="006D3AF5">
        <w:rPr>
          <w:rFonts w:ascii="Times New Roman" w:hAnsi="Times New Roman" w:eastAsia="Times New Roman" w:cs="Times New Roman"/>
          <w:szCs w:val="20"/>
          <w:lang w:eastAsia="nb-NO"/>
        </w:rPr>
        <w:t xml:space="preserve"> samt rehabilitering </w:t>
      </w:r>
      <w:r w:rsidRPr="006D3AF5" w:rsidR="00533C8D">
        <w:rPr>
          <w:rFonts w:ascii="Times New Roman" w:hAnsi="Times New Roman" w:eastAsia="Times New Roman" w:cs="Times New Roman"/>
          <w:szCs w:val="20"/>
          <w:lang w:eastAsia="nb-NO"/>
        </w:rPr>
        <w:t>av eksisterende,</w:t>
      </w:r>
      <w:r w:rsidRPr="006D3AF5">
        <w:rPr>
          <w:rFonts w:ascii="Times New Roman" w:hAnsi="Times New Roman" w:eastAsia="Times New Roman" w:cs="Times New Roman"/>
          <w:szCs w:val="20"/>
          <w:lang w:eastAsia="nb-NO"/>
        </w:rPr>
        <w:t xml:space="preserve"> er også positivt </w:t>
      </w:r>
      <w:r w:rsidRPr="006D3AF5" w:rsidR="00533C8D">
        <w:rPr>
          <w:rFonts w:ascii="Times New Roman" w:hAnsi="Times New Roman" w:eastAsia="Times New Roman" w:cs="Times New Roman"/>
          <w:szCs w:val="20"/>
          <w:lang w:eastAsia="nb-NO"/>
        </w:rPr>
        <w:t>for den regionale verdiskapingen</w:t>
      </w:r>
      <w:r w:rsidRPr="006D3AF5">
        <w:rPr>
          <w:rFonts w:ascii="Times New Roman" w:hAnsi="Times New Roman" w:eastAsia="Times New Roman" w:cs="Times New Roman"/>
          <w:szCs w:val="20"/>
          <w:lang w:eastAsia="nb-NO"/>
        </w:rPr>
        <w:t>.</w:t>
      </w:r>
    </w:p>
    <w:p w:rsidRPr="006D3AF5" w:rsidR="00533C8D" w:rsidP="00711A82" w:rsidRDefault="00533C8D" w14:paraId="43CC232D" w14:textId="77777777">
      <w:pPr>
        <w:rPr>
          <w:rFonts w:ascii="Times New Roman" w:hAnsi="Times New Roman" w:eastAsia="Times New Roman" w:cs="Times New Roman"/>
          <w:szCs w:val="20"/>
          <w:lang w:eastAsia="nb-NO"/>
        </w:rPr>
      </w:pPr>
    </w:p>
    <w:p w:rsidRPr="006D3AF5" w:rsidR="00711A82" w:rsidP="00711A82" w:rsidRDefault="00711A82" w14:paraId="7E36A64D" w14:textId="4D1EE9CC">
      <w:pPr>
        <w:rPr>
          <w:rFonts w:ascii="Times New Roman" w:hAnsi="Times New Roman" w:eastAsia="Times New Roman" w:cs="Times New Roman"/>
          <w:szCs w:val="20"/>
          <w:lang w:eastAsia="nb-NO"/>
        </w:rPr>
      </w:pPr>
      <w:r w:rsidRPr="006D3AF5">
        <w:rPr>
          <w:rFonts w:ascii="Times New Roman" w:hAnsi="Times New Roman" w:eastAsia="Times New Roman" w:cs="Times New Roman"/>
          <w:szCs w:val="20"/>
          <w:lang w:eastAsia="nb-NO"/>
        </w:rPr>
        <w:lastRenderedPageBreak/>
        <w:t xml:space="preserve">Noe som er vanskelig å måle i kroner og øre er forventet oppmerksomhet eller </w:t>
      </w:r>
      <w:r w:rsidR="008C0BDA">
        <w:rPr>
          <w:rFonts w:ascii="Times New Roman" w:hAnsi="Times New Roman" w:eastAsia="Times New Roman" w:cs="Times New Roman"/>
          <w:szCs w:val="20"/>
          <w:lang w:eastAsia="nb-NO"/>
        </w:rPr>
        <w:t xml:space="preserve">effekt av </w:t>
      </w:r>
      <w:r w:rsidRPr="006D3AF5">
        <w:rPr>
          <w:rFonts w:ascii="Times New Roman" w:hAnsi="Times New Roman" w:eastAsia="Times New Roman" w:cs="Times New Roman"/>
          <w:szCs w:val="20"/>
          <w:lang w:eastAsia="nb-NO"/>
        </w:rPr>
        <w:t>markedsføring. Her gjøres det målinger i form av TV-seere, samt rekkevidde og oppslag i alle typer medier.  Markedsføring og kommunikasjon i egne kanaler vektlegges også. Mer indirekte kan et arrangement også bidra til å styrke regionens verdigrunnlag, identitet og attraksjonsverdi for besøk og tilflytting. I noen tilfeller kan arrangement utløse sponsorers større samfunnssatsing i området</w:t>
      </w:r>
      <w:r w:rsidRPr="006D3AF5" w:rsidR="00C5142C">
        <w:rPr>
          <w:rFonts w:ascii="Times New Roman" w:hAnsi="Times New Roman" w:eastAsia="Times New Roman" w:cs="Times New Roman"/>
          <w:szCs w:val="20"/>
          <w:lang w:eastAsia="nb-NO"/>
        </w:rPr>
        <w:t>.</w:t>
      </w:r>
    </w:p>
    <w:p w:rsidRPr="006D3AF5" w:rsidR="00C5142C" w:rsidP="00711A82" w:rsidRDefault="00C5142C" w14:paraId="46B9A56F" w14:textId="77777777">
      <w:pPr>
        <w:rPr>
          <w:rFonts w:ascii="Times New Roman" w:hAnsi="Times New Roman" w:eastAsia="Times New Roman" w:cs="Times New Roman"/>
          <w:szCs w:val="20"/>
          <w:lang w:eastAsia="nb-NO"/>
        </w:rPr>
      </w:pPr>
    </w:p>
    <w:p w:rsidRPr="006D3AF5" w:rsidR="00711A82" w:rsidP="00711A82" w:rsidRDefault="00711A82" w14:paraId="1196E118" w14:textId="2FD964CA">
      <w:pPr>
        <w:rPr>
          <w:rFonts w:ascii="Times New Roman" w:hAnsi="Times New Roman" w:eastAsia="Times New Roman" w:cs="Times New Roman"/>
          <w:szCs w:val="20"/>
          <w:lang w:eastAsia="nb-NO"/>
        </w:rPr>
      </w:pPr>
      <w:r w:rsidRPr="006D3AF5">
        <w:rPr>
          <w:rFonts w:ascii="Times New Roman" w:hAnsi="Times New Roman" w:eastAsia="Times New Roman" w:cs="Times New Roman"/>
          <w:szCs w:val="20"/>
          <w:lang w:eastAsia="nb-NO"/>
        </w:rPr>
        <w:t>Innovasjon og nytekning er også viktig</w:t>
      </w:r>
      <w:r w:rsidR="00485E7D">
        <w:rPr>
          <w:rFonts w:ascii="Times New Roman" w:hAnsi="Times New Roman" w:eastAsia="Times New Roman" w:cs="Times New Roman"/>
          <w:szCs w:val="20"/>
          <w:lang w:eastAsia="nb-NO"/>
        </w:rPr>
        <w:t xml:space="preserve">. </w:t>
      </w:r>
      <w:r w:rsidR="006C1A1F">
        <w:rPr>
          <w:rFonts w:ascii="Times New Roman" w:hAnsi="Times New Roman" w:eastAsia="Times New Roman" w:cs="Times New Roman"/>
          <w:szCs w:val="20"/>
          <w:lang w:eastAsia="nb-NO"/>
        </w:rPr>
        <w:t>K</w:t>
      </w:r>
      <w:r w:rsidRPr="006D3AF5">
        <w:rPr>
          <w:rFonts w:ascii="Times New Roman" w:hAnsi="Times New Roman" w:eastAsia="Times New Roman" w:cs="Times New Roman"/>
          <w:szCs w:val="20"/>
          <w:lang w:eastAsia="nb-NO"/>
        </w:rPr>
        <w:t>ontakt med andre arrangører for kompetanseoverføring og læring</w:t>
      </w:r>
      <w:r w:rsidR="006C1A1F">
        <w:rPr>
          <w:rFonts w:ascii="Times New Roman" w:hAnsi="Times New Roman" w:eastAsia="Times New Roman" w:cs="Times New Roman"/>
          <w:szCs w:val="20"/>
          <w:lang w:eastAsia="nb-NO"/>
        </w:rPr>
        <w:t xml:space="preserve"> er bra, - b</w:t>
      </w:r>
      <w:r w:rsidRPr="006D3AF5">
        <w:rPr>
          <w:rFonts w:ascii="Times New Roman" w:hAnsi="Times New Roman" w:eastAsia="Times New Roman" w:cs="Times New Roman"/>
          <w:szCs w:val="20"/>
          <w:lang w:eastAsia="nb-NO"/>
        </w:rPr>
        <w:t>idra til å dele egne erfaringer.</w:t>
      </w:r>
    </w:p>
    <w:p w:rsidRPr="006D3AF5" w:rsidR="00711A82" w:rsidP="00711A82" w:rsidRDefault="00711A82" w14:paraId="644618C7" w14:textId="77777777">
      <w:pPr>
        <w:rPr>
          <w:rFonts w:ascii="Times New Roman" w:hAnsi="Times New Roman" w:eastAsia="Times New Roman" w:cs="Times New Roman"/>
          <w:szCs w:val="20"/>
          <w:lang w:eastAsia="nb-NO"/>
        </w:rPr>
      </w:pPr>
    </w:p>
    <w:p w:rsidRPr="006D3AF5" w:rsidR="00711A82" w:rsidP="00711A82" w:rsidRDefault="00711A82" w14:paraId="703179EF" w14:textId="77777777">
      <w:pPr>
        <w:rPr>
          <w:rFonts w:ascii="Times New Roman" w:hAnsi="Times New Roman" w:eastAsia="Times New Roman" w:cs="Times New Roman"/>
          <w:b/>
          <w:bCs/>
          <w:szCs w:val="20"/>
          <w:lang w:eastAsia="nb-NO"/>
        </w:rPr>
      </w:pPr>
      <w:r w:rsidRPr="006D3AF5">
        <w:rPr>
          <w:rFonts w:ascii="Times New Roman" w:hAnsi="Times New Roman" w:eastAsia="Times New Roman" w:cs="Times New Roman"/>
          <w:b/>
          <w:bCs/>
          <w:szCs w:val="20"/>
          <w:lang w:eastAsia="nb-NO"/>
        </w:rPr>
        <w:t>Miljø</w:t>
      </w:r>
    </w:p>
    <w:p w:rsidRPr="006D3AF5" w:rsidR="00711A82" w:rsidP="00711A82" w:rsidRDefault="00711A82" w14:paraId="1CF1A3D4" w14:textId="7A2E6615">
      <w:pPr>
        <w:rPr>
          <w:rFonts w:ascii="Times New Roman" w:hAnsi="Times New Roman" w:eastAsia="Times New Roman" w:cs="Times New Roman"/>
          <w:lang w:eastAsia="nb-NO"/>
        </w:rPr>
      </w:pPr>
      <w:r w:rsidRPr="006D3AF5">
        <w:rPr>
          <w:rFonts w:ascii="Times New Roman" w:hAnsi="Times New Roman" w:eastAsia="Times New Roman" w:cs="Times New Roman"/>
          <w:lang w:eastAsia="nb-NO"/>
        </w:rPr>
        <w:t xml:space="preserve">GLØR er </w:t>
      </w:r>
      <w:r w:rsidRPr="006D3AF5" w:rsidR="00C5142C">
        <w:rPr>
          <w:rFonts w:ascii="Times New Roman" w:hAnsi="Times New Roman" w:eastAsia="Times New Roman" w:cs="Times New Roman"/>
          <w:lang w:eastAsia="nb-NO"/>
        </w:rPr>
        <w:t xml:space="preserve">for mange </w:t>
      </w:r>
      <w:r w:rsidRPr="006D3AF5">
        <w:rPr>
          <w:rFonts w:ascii="Times New Roman" w:hAnsi="Times New Roman" w:eastAsia="Times New Roman" w:cs="Times New Roman"/>
          <w:lang w:eastAsia="nb-NO"/>
        </w:rPr>
        <w:t xml:space="preserve">en viktig samarbeidspartner </w:t>
      </w:r>
      <w:r w:rsidRPr="006D3AF5" w:rsidR="00C5142C">
        <w:rPr>
          <w:rFonts w:ascii="Times New Roman" w:hAnsi="Times New Roman" w:eastAsia="Times New Roman" w:cs="Times New Roman"/>
          <w:lang w:eastAsia="nb-NO"/>
        </w:rPr>
        <w:t>når det kommer</w:t>
      </w:r>
      <w:r w:rsidRPr="006D3AF5">
        <w:rPr>
          <w:rFonts w:ascii="Times New Roman" w:hAnsi="Times New Roman" w:eastAsia="Times New Roman" w:cs="Times New Roman"/>
          <w:lang w:eastAsia="nb-NO"/>
        </w:rPr>
        <w:t xml:space="preserve"> til avfallshåndtering. Redusert matsvinn kan være å sikre seg gode returmuligheter på mat som kan returneres. Vi vet at mange arrangører er bare leietakere og ikke styrer verken avfallshåndtering eller matservering. Da blir det viktig å påvirke, og her </w:t>
      </w:r>
      <w:r w:rsidR="00022667">
        <w:rPr>
          <w:rFonts w:ascii="Times New Roman" w:hAnsi="Times New Roman" w:eastAsia="Times New Roman" w:cs="Times New Roman"/>
          <w:lang w:eastAsia="nb-NO"/>
        </w:rPr>
        <w:t>kan</w:t>
      </w:r>
      <w:r w:rsidRPr="006D3AF5">
        <w:rPr>
          <w:rFonts w:ascii="Times New Roman" w:hAnsi="Times New Roman" w:eastAsia="Times New Roman" w:cs="Times New Roman"/>
          <w:lang w:eastAsia="nb-NO"/>
        </w:rPr>
        <w:t xml:space="preserve"> de også få bistand fra virkemiddelapparatet forøvrig.</w:t>
      </w:r>
    </w:p>
    <w:p w:rsidRPr="006D3AF5" w:rsidR="00711A82" w:rsidP="00711A82" w:rsidRDefault="00711A82" w14:paraId="7D26CB23" w14:textId="77777777">
      <w:pPr>
        <w:rPr>
          <w:rFonts w:ascii="Times New Roman" w:hAnsi="Times New Roman" w:eastAsia="Times New Roman" w:cs="Times New Roman"/>
          <w:lang w:eastAsia="nb-NO"/>
        </w:rPr>
      </w:pPr>
      <w:r w:rsidRPr="006D3AF5">
        <w:rPr>
          <w:rFonts w:ascii="Times New Roman" w:hAnsi="Times New Roman" w:eastAsia="Times New Roman" w:cs="Times New Roman"/>
          <w:lang w:eastAsia="nb-NO"/>
        </w:rPr>
        <w:t>God logistikk, energiforbruk, transport og kortreiste leveranser er også momenter som skal vurderes.</w:t>
      </w:r>
    </w:p>
    <w:p w:rsidRPr="006D3AF5" w:rsidR="00711A82" w:rsidP="00711A82" w:rsidRDefault="00711A82" w14:paraId="544BF6B9" w14:textId="582148F8">
      <w:pPr>
        <w:rPr>
          <w:rFonts w:ascii="Times New Roman" w:hAnsi="Times New Roman" w:eastAsia="Times New Roman" w:cs="Times New Roman"/>
          <w:lang w:eastAsia="nb-NO"/>
        </w:rPr>
      </w:pPr>
      <w:r w:rsidRPr="006D3AF5">
        <w:rPr>
          <w:rFonts w:ascii="Times New Roman" w:hAnsi="Times New Roman" w:eastAsia="Times New Roman" w:cs="Times New Roman"/>
          <w:lang w:eastAsia="nb-NO"/>
        </w:rPr>
        <w:t xml:space="preserve">Det er </w:t>
      </w:r>
      <w:r w:rsidRPr="006D3AF5" w:rsidR="001B667D">
        <w:rPr>
          <w:rFonts w:ascii="Times New Roman" w:hAnsi="Times New Roman" w:eastAsia="Times New Roman" w:cs="Times New Roman"/>
          <w:lang w:eastAsia="nb-NO"/>
        </w:rPr>
        <w:t>e</w:t>
      </w:r>
      <w:r w:rsidRPr="006D3AF5">
        <w:rPr>
          <w:rFonts w:ascii="Times New Roman" w:hAnsi="Times New Roman" w:eastAsia="Times New Roman" w:cs="Times New Roman"/>
          <w:lang w:eastAsia="nb-NO"/>
        </w:rPr>
        <w:t>t mål at større gjentatte arrangement skal oppnå en form for miljøgodkjenning. Vi har i dag to offentlige miljøsertifiseringer: «Miljøgodkjent arrangement» og «Miljøfyrtårn». Begge disse innebærer å delta i en prosess med profesjonell veiledning. Det vurderes å etablere en noe enklere regional miljøgodkjenning for mindre og mellomstore arrangement på bakgrunn av prosess og dialog om dette skjemaet.</w:t>
      </w:r>
    </w:p>
    <w:p w:rsidRPr="006D3AF5" w:rsidR="00711A82" w:rsidP="00711A82" w:rsidRDefault="00711A82" w14:paraId="0144FE8A" w14:textId="1261EA77">
      <w:pPr>
        <w:rPr>
          <w:rFonts w:ascii="Times New Roman" w:hAnsi="Times New Roman" w:eastAsia="Times New Roman" w:cs="Times New Roman"/>
          <w:u w:val="single"/>
          <w:lang w:eastAsia="nb-NO"/>
        </w:rPr>
      </w:pPr>
      <w:r w:rsidRPr="006D3AF5">
        <w:rPr>
          <w:rFonts w:ascii="Times New Roman" w:hAnsi="Times New Roman" w:eastAsia="Times New Roman" w:cs="Times New Roman"/>
          <w:lang w:eastAsia="nb-NO"/>
        </w:rPr>
        <w:t xml:space="preserve">Se også: </w:t>
      </w:r>
      <w:hyperlink w:history="1" r:id="rId14">
        <w:r w:rsidRPr="006D3AF5">
          <w:rPr>
            <w:rFonts w:ascii="Times New Roman" w:hAnsi="Times New Roman" w:eastAsia="Times New Roman" w:cs="Times New Roman"/>
            <w:u w:val="single"/>
            <w:lang w:eastAsia="nb-NO"/>
          </w:rPr>
          <w:t>https://fee.no/miljgodkjent-arrangement</w:t>
        </w:r>
      </w:hyperlink>
      <w:r w:rsidR="00E17277">
        <w:rPr>
          <w:rFonts w:ascii="Times New Roman" w:hAnsi="Times New Roman" w:eastAsia="Times New Roman" w:cs="Times New Roman"/>
          <w:u w:val="single"/>
          <w:lang w:eastAsia="nb-NO"/>
        </w:rPr>
        <w:t xml:space="preserve"> </w:t>
      </w:r>
    </w:p>
    <w:p w:rsidRPr="006D3AF5" w:rsidR="00711A82" w:rsidP="00711A82" w:rsidRDefault="00711A82" w14:paraId="4EE593C1" w14:textId="77777777">
      <w:pPr>
        <w:rPr>
          <w:rFonts w:ascii="Times New Roman" w:hAnsi="Times New Roman" w:eastAsia="Times New Roman" w:cs="Times New Roman"/>
          <w:lang w:eastAsia="nb-NO"/>
        </w:rPr>
      </w:pPr>
    </w:p>
    <w:p w:rsidRPr="006D3AF5" w:rsidR="00711A82" w:rsidP="00711A82" w:rsidRDefault="00711A82" w14:paraId="58621F9D" w14:textId="77777777">
      <w:pPr>
        <w:rPr>
          <w:rFonts w:ascii="Times New Roman" w:hAnsi="Times New Roman" w:eastAsia="Times New Roman" w:cs="Times New Roman"/>
          <w:lang w:eastAsia="nb-NO"/>
        </w:rPr>
      </w:pPr>
    </w:p>
    <w:p w:rsidRPr="006D3AF5" w:rsidR="00711A82" w:rsidP="00711A82" w:rsidRDefault="00711A82" w14:paraId="58E82820" w14:textId="77777777">
      <w:pPr>
        <w:rPr>
          <w:rFonts w:ascii="Times New Roman" w:hAnsi="Times New Roman" w:eastAsia="Times New Roman" w:cs="Times New Roman"/>
          <w:b/>
          <w:bCs/>
          <w:lang w:eastAsia="nb-NO"/>
        </w:rPr>
      </w:pPr>
      <w:r w:rsidRPr="006D3AF5">
        <w:rPr>
          <w:rFonts w:ascii="Times New Roman" w:hAnsi="Times New Roman" w:eastAsia="Times New Roman" w:cs="Times New Roman"/>
          <w:b/>
          <w:bCs/>
          <w:lang w:eastAsia="nb-NO"/>
        </w:rPr>
        <w:t>Sosial bærekraft</w:t>
      </w:r>
    </w:p>
    <w:p w:rsidRPr="006D3AF5" w:rsidR="00711A82" w:rsidP="00711A82" w:rsidRDefault="00711A82" w14:paraId="1DD75D3F" w14:textId="77777777">
      <w:pPr>
        <w:rPr>
          <w:rFonts w:ascii="Times New Roman" w:hAnsi="Times New Roman" w:eastAsia="Times New Roman" w:cs="Times New Roman"/>
          <w:lang w:eastAsia="nb-NO"/>
        </w:rPr>
      </w:pPr>
      <w:r w:rsidRPr="006D3AF5">
        <w:rPr>
          <w:rFonts w:ascii="Times New Roman" w:hAnsi="Times New Roman" w:eastAsia="Times New Roman" w:cs="Times New Roman"/>
          <w:lang w:eastAsia="nb-NO"/>
        </w:rPr>
        <w:t>De frivillige er viktige i alle arrangement. Det å ha gode rutiner for kommunikasjon og informasjon overfor de frivillige er viktig.  Her har vi også bidratt til å få på plass gode lokale løsninger, og mange arrangører kan bidra med kompetanseoverføring på dette området.</w:t>
      </w:r>
    </w:p>
    <w:p w:rsidRPr="006D3AF5" w:rsidR="00711A82" w:rsidP="00711A82" w:rsidRDefault="00711A82" w14:paraId="0D640D45" w14:textId="579A1AD6">
      <w:pPr>
        <w:rPr>
          <w:rFonts w:ascii="Times New Roman" w:hAnsi="Times New Roman" w:eastAsia="Times New Roman" w:cs="Times New Roman"/>
          <w:lang w:eastAsia="nb-NO"/>
        </w:rPr>
      </w:pPr>
      <w:r w:rsidRPr="006D3AF5">
        <w:rPr>
          <w:rFonts w:ascii="Times New Roman" w:hAnsi="Times New Roman" w:eastAsia="Times New Roman" w:cs="Times New Roman"/>
          <w:lang w:eastAsia="nb-NO"/>
        </w:rPr>
        <w:t>Inkludering og mangfold er viktig. Arrangement er en viktig sosial arena, så vel for publikum, deltakere</w:t>
      </w:r>
      <w:r w:rsidR="001D1AAE">
        <w:rPr>
          <w:rFonts w:ascii="Times New Roman" w:hAnsi="Times New Roman" w:eastAsia="Times New Roman" w:cs="Times New Roman"/>
          <w:lang w:eastAsia="nb-NO"/>
        </w:rPr>
        <w:t xml:space="preserve"> og</w:t>
      </w:r>
      <w:r w:rsidRPr="006D3AF5">
        <w:rPr>
          <w:rFonts w:ascii="Times New Roman" w:hAnsi="Times New Roman" w:eastAsia="Times New Roman" w:cs="Times New Roman"/>
          <w:lang w:eastAsia="nb-NO"/>
        </w:rPr>
        <w:t xml:space="preserve"> frivillige/medarbeidere, vær den bevisst.</w:t>
      </w:r>
      <w:r w:rsidR="005015AD">
        <w:rPr>
          <w:rFonts w:ascii="Times New Roman" w:hAnsi="Times New Roman" w:eastAsia="Times New Roman" w:cs="Times New Roman"/>
          <w:lang w:eastAsia="nb-NO"/>
        </w:rPr>
        <w:t xml:space="preserve"> </w:t>
      </w:r>
      <w:r w:rsidRPr="006D3AF5">
        <w:rPr>
          <w:rFonts w:ascii="Times New Roman" w:hAnsi="Times New Roman" w:eastAsia="Times New Roman" w:cs="Times New Roman"/>
          <w:lang w:eastAsia="nb-NO"/>
        </w:rPr>
        <w:t>Mange arrangement har også en stor mobiliseringsevne</w:t>
      </w:r>
      <w:r w:rsidR="005015AD">
        <w:rPr>
          <w:rFonts w:ascii="Times New Roman" w:hAnsi="Times New Roman" w:eastAsia="Times New Roman" w:cs="Times New Roman"/>
          <w:lang w:eastAsia="nb-NO"/>
        </w:rPr>
        <w:t xml:space="preserve"> lokalt og regionalt</w:t>
      </w:r>
      <w:r w:rsidRPr="006D3AF5">
        <w:rPr>
          <w:rFonts w:ascii="Times New Roman" w:hAnsi="Times New Roman" w:eastAsia="Times New Roman" w:cs="Times New Roman"/>
          <w:lang w:eastAsia="nb-NO"/>
        </w:rPr>
        <w:t>.</w:t>
      </w:r>
    </w:p>
    <w:p w:rsidRPr="006D3AF5" w:rsidR="00711A82" w:rsidP="5B3834DE" w:rsidRDefault="00711A82" w14:paraId="525DC4BD" w14:textId="2E7EB6E6">
      <w:pPr>
        <w:widowControl w:val="0"/>
        <w:autoSpaceDE w:val="0"/>
        <w:autoSpaceDN w:val="0"/>
        <w:rPr>
          <w:rFonts w:ascii="Times New Roman" w:hAnsi="Arial" w:eastAsia="Arial" w:cs="Arial"/>
          <w:sz w:val="20"/>
          <w:szCs w:val="20"/>
          <w:lang w:val="nb"/>
        </w:rPr>
      </w:pPr>
      <w:r w:rsidRPr="5B3834DE" w:rsidR="582447C4">
        <w:rPr>
          <w:rFonts w:ascii="Times New Roman" w:hAnsi="Arial" w:eastAsia="Arial" w:cs="Arial"/>
          <w:sz w:val="24"/>
          <w:szCs w:val="24"/>
          <w:lang w:val="nb"/>
        </w:rPr>
        <w:t>P</w:t>
      </w:r>
      <w:r w:rsidRPr="5B3834DE" w:rsidR="1672120B">
        <w:rPr>
          <w:rFonts w:ascii="Times New Roman" w:hAnsi="Arial" w:eastAsia="Arial" w:cs="Arial"/>
          <w:sz w:val="24"/>
          <w:szCs w:val="24"/>
          <w:lang w:val="nb"/>
        </w:rPr>
        <w:t xml:space="preserve">andemien i 2020/2021 </w:t>
      </w:r>
      <w:r w:rsidRPr="5B3834DE" w:rsidR="588BF90E">
        <w:rPr>
          <w:rFonts w:ascii="Times New Roman" w:hAnsi="Arial" w:eastAsia="Arial" w:cs="Arial"/>
          <w:sz w:val="24"/>
          <w:szCs w:val="24"/>
          <w:lang w:val="nb"/>
        </w:rPr>
        <w:t>har satt enda sterkere fokus på godt</w:t>
      </w:r>
      <w:r w:rsidRPr="5B3834DE" w:rsidR="1672120B">
        <w:rPr>
          <w:rFonts w:ascii="Times New Roman" w:hAnsi="Arial" w:eastAsia="Arial" w:cs="Arial"/>
          <w:sz w:val="24"/>
          <w:szCs w:val="24"/>
          <w:lang w:val="nb"/>
        </w:rPr>
        <w:t xml:space="preserve"> HMS-arbeid</w:t>
      </w:r>
      <w:r w:rsidRPr="5B3834DE" w:rsidR="613C1CFF">
        <w:rPr>
          <w:rFonts w:ascii="Times New Roman" w:hAnsi="Arial" w:eastAsia="Arial" w:cs="Arial"/>
          <w:sz w:val="24"/>
          <w:szCs w:val="24"/>
          <w:lang w:val="nb"/>
        </w:rPr>
        <w:t xml:space="preserve"> </w:t>
      </w:r>
      <w:r w:rsidRPr="5B3834DE" w:rsidR="0EC45529">
        <w:rPr>
          <w:rFonts w:ascii="Times New Roman" w:hAnsi="Arial" w:eastAsia="Arial" w:cs="Arial"/>
          <w:sz w:val="24"/>
          <w:szCs w:val="24"/>
          <w:lang w:val="nb"/>
        </w:rPr>
        <w:t>med</w:t>
      </w:r>
      <w:r w:rsidRPr="5B3834DE" w:rsidR="613C1CFF">
        <w:rPr>
          <w:rFonts w:ascii="Times New Roman" w:hAnsi="Arial" w:eastAsia="Arial" w:cs="Arial"/>
          <w:sz w:val="24"/>
          <w:szCs w:val="24"/>
          <w:lang w:val="nb"/>
        </w:rPr>
        <w:t xml:space="preserve"> nødvendi</w:t>
      </w:r>
      <w:r w:rsidRPr="5B3834DE" w:rsidR="50325E3C">
        <w:rPr>
          <w:rFonts w:ascii="Times New Roman" w:hAnsi="Arial" w:eastAsia="Arial" w:cs="Arial"/>
          <w:sz w:val="24"/>
          <w:szCs w:val="24"/>
          <w:lang w:val="nb"/>
        </w:rPr>
        <w:t xml:space="preserve">g beredskap og tiltak. </w:t>
      </w:r>
      <w:r w:rsidRPr="5B3834DE" w:rsidR="458F022F">
        <w:rPr>
          <w:rFonts w:ascii="Times New Roman" w:hAnsi="Arial" w:eastAsia="Arial" w:cs="Arial"/>
          <w:sz w:val="20"/>
          <w:szCs w:val="20"/>
          <w:lang w:val="nb"/>
        </w:rPr>
        <w:t xml:space="preserve"> </w:t>
      </w:r>
    </w:p>
    <w:p w:rsidRPr="006D3AF5" w:rsidR="00711A82" w:rsidP="00711A82" w:rsidRDefault="00711A82" w14:paraId="72517B19" w14:textId="77777777">
      <w:pPr>
        <w:widowControl w:val="0"/>
        <w:autoSpaceDE w:val="0"/>
        <w:autoSpaceDN w:val="0"/>
        <w:spacing w:before="4"/>
        <w:rPr>
          <w:rFonts w:ascii="Times New Roman" w:hAnsi="Times New Roman" w:eastAsia="Arial" w:cs="Times New Roman"/>
          <w:sz w:val="25"/>
          <w:lang w:val="nb"/>
        </w:rPr>
      </w:pPr>
    </w:p>
    <w:p w:rsidRPr="006D3AF5" w:rsidR="00FE6A8F" w:rsidRDefault="009A6C8B" w14:paraId="397A01B7" w14:textId="77777777">
      <w:pPr>
        <w:rPr>
          <w:rFonts w:ascii="Times New Roman" w:hAnsi="Times New Roman" w:cs="Times New Roman"/>
          <w:i/>
          <w:iCs/>
        </w:rPr>
      </w:pPr>
      <w:r w:rsidRPr="006D3AF5">
        <w:rPr>
          <w:rFonts w:ascii="Times New Roman" w:hAnsi="Times New Roman" w:cs="Times New Roman"/>
          <w:i/>
          <w:iCs/>
        </w:rPr>
        <w:t xml:space="preserve">Det er arrangøren som har hovedansvar for at </w:t>
      </w:r>
      <w:r w:rsidRPr="006D3AF5" w:rsidR="00546E5B">
        <w:rPr>
          <w:rFonts w:ascii="Times New Roman" w:hAnsi="Times New Roman" w:cs="Times New Roman"/>
          <w:i/>
          <w:iCs/>
        </w:rPr>
        <w:t>arrangementet utvikles bærekraftig.</w:t>
      </w:r>
      <w:r w:rsidRPr="006D3AF5" w:rsidR="00185A87">
        <w:rPr>
          <w:rFonts w:ascii="Times New Roman" w:hAnsi="Times New Roman" w:cs="Times New Roman"/>
          <w:i/>
          <w:iCs/>
        </w:rPr>
        <w:t xml:space="preserve"> </w:t>
      </w:r>
      <w:r w:rsidRPr="006D3AF5" w:rsidR="000B6D18">
        <w:rPr>
          <w:rFonts w:ascii="Times New Roman" w:hAnsi="Times New Roman" w:cs="Times New Roman"/>
          <w:i/>
          <w:iCs/>
        </w:rPr>
        <w:t xml:space="preserve">Hovedkontakt mot Lillehammerregionen/kommunene er </w:t>
      </w:r>
      <w:r w:rsidRPr="006D3AF5" w:rsidR="00AE28D7">
        <w:rPr>
          <w:rFonts w:ascii="Times New Roman" w:hAnsi="Times New Roman" w:cs="Times New Roman"/>
          <w:i/>
          <w:iCs/>
        </w:rPr>
        <w:t>arrangementskoordinator i Visit Lillehammer.</w:t>
      </w:r>
      <w:r w:rsidRPr="006D3AF5" w:rsidR="00DD6240">
        <w:rPr>
          <w:rFonts w:ascii="Times New Roman" w:hAnsi="Times New Roman" w:cs="Times New Roman"/>
          <w:i/>
          <w:iCs/>
        </w:rPr>
        <w:t xml:space="preserve"> Sammen med kulturnæringsutvikler i LRV og kontaktpersoner i kommunene vil disse utgjøre et rådgivende team</w:t>
      </w:r>
      <w:r w:rsidRPr="006D3AF5" w:rsidR="0091698C">
        <w:rPr>
          <w:rFonts w:ascii="Times New Roman" w:hAnsi="Times New Roman" w:cs="Times New Roman"/>
          <w:i/>
          <w:iCs/>
        </w:rPr>
        <w:t xml:space="preserve"> som kan gi arrangøren</w:t>
      </w:r>
      <w:r w:rsidRPr="006D3AF5" w:rsidR="00072167">
        <w:rPr>
          <w:rFonts w:ascii="Times New Roman" w:hAnsi="Times New Roman" w:cs="Times New Roman"/>
          <w:i/>
          <w:iCs/>
        </w:rPr>
        <w:t xml:space="preserve"> grunnleggende veiledning</w:t>
      </w:r>
      <w:r w:rsidRPr="006D3AF5" w:rsidR="00DD6240">
        <w:rPr>
          <w:rFonts w:ascii="Times New Roman" w:hAnsi="Times New Roman" w:cs="Times New Roman"/>
          <w:i/>
          <w:iCs/>
        </w:rPr>
        <w:t>.</w:t>
      </w:r>
    </w:p>
    <w:p w:rsidRPr="006D3AF5" w:rsidR="00FE6A8F" w:rsidRDefault="00FE6A8F" w14:paraId="67557F0F" w14:textId="77777777">
      <w:pPr>
        <w:rPr>
          <w:rFonts w:ascii="Times New Roman" w:hAnsi="Times New Roman" w:cs="Times New Roman"/>
          <w:i/>
          <w:iCs/>
        </w:rPr>
      </w:pPr>
    </w:p>
    <w:p w:rsidR="00E96CA1" w:rsidRDefault="00E96CA1" w14:paraId="523DF25F" w14:textId="77777777">
      <w:pPr>
        <w:rPr>
          <w:rFonts w:ascii="Times New Roman" w:hAnsi="Times New Roman" w:cs="Times New Roman"/>
          <w:b/>
          <w:bCs/>
        </w:rPr>
      </w:pPr>
    </w:p>
    <w:p w:rsidR="005B6B54" w:rsidRDefault="005B6B54" w14:paraId="2E4670DB" w14:textId="777777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Pr="00814DC1" w:rsidR="00FE6A8F" w:rsidRDefault="00FE6A8F" w14:paraId="4D62AC42" w14:textId="352D84A5">
      <w:pPr>
        <w:rPr>
          <w:rFonts w:ascii="Times New Roman" w:hAnsi="Times New Roman" w:cs="Times New Roman"/>
          <w:b/>
          <w:bCs/>
        </w:rPr>
      </w:pPr>
      <w:r w:rsidRPr="00814DC1">
        <w:rPr>
          <w:rFonts w:ascii="Times New Roman" w:hAnsi="Times New Roman" w:cs="Times New Roman"/>
          <w:b/>
          <w:bCs/>
        </w:rPr>
        <w:lastRenderedPageBreak/>
        <w:t>Gradering</w:t>
      </w:r>
    </w:p>
    <w:p w:rsidRPr="00814DC1" w:rsidR="00E96CA1" w:rsidP="00463C0F" w:rsidRDefault="00463C0F" w14:paraId="4788457C" w14:textId="0454E412">
      <w:pPr>
        <w:rPr>
          <w:rFonts w:ascii="Times New Roman" w:hAnsi="Times New Roman" w:cs="Times New Roman"/>
        </w:rPr>
      </w:pPr>
      <w:r w:rsidRPr="00814DC1">
        <w:rPr>
          <w:rFonts w:ascii="Times New Roman" w:hAnsi="Times New Roman" w:cs="Times New Roman"/>
        </w:rPr>
        <w:t xml:space="preserve">I arrangørens arbeid med </w:t>
      </w:r>
      <w:r w:rsidRPr="00814DC1" w:rsidR="00AA5D73">
        <w:rPr>
          <w:rFonts w:ascii="Times New Roman" w:hAnsi="Times New Roman" w:cs="Times New Roman"/>
        </w:rPr>
        <w:t xml:space="preserve">matrisen setter de selv </w:t>
      </w:r>
      <w:r w:rsidRPr="00814DC1" w:rsidR="0095513B">
        <w:rPr>
          <w:rFonts w:ascii="Times New Roman" w:hAnsi="Times New Roman" w:cs="Times New Roman"/>
        </w:rPr>
        <w:t xml:space="preserve">gradering slik de vurderer status for arbeidet. Dette legges til grunn for dialog med </w:t>
      </w:r>
      <w:r w:rsidRPr="00814DC1" w:rsidR="00AB0451">
        <w:rPr>
          <w:rFonts w:ascii="Times New Roman" w:hAnsi="Times New Roman" w:cs="Times New Roman"/>
        </w:rPr>
        <w:t>regionen</w:t>
      </w:r>
      <w:r w:rsidRPr="00814DC1" w:rsidR="00E96CA1">
        <w:rPr>
          <w:rFonts w:ascii="Times New Roman" w:hAnsi="Times New Roman" w:cs="Times New Roman"/>
        </w:rPr>
        <w:t>s</w:t>
      </w:r>
      <w:r w:rsidRPr="00814DC1" w:rsidR="00AB0451">
        <w:rPr>
          <w:rFonts w:ascii="Times New Roman" w:hAnsi="Times New Roman" w:cs="Times New Roman"/>
        </w:rPr>
        <w:t xml:space="preserve"> kontaktperson/forvaltningsansvarlig</w:t>
      </w:r>
      <w:r w:rsidR="00A9323B">
        <w:rPr>
          <w:rFonts w:ascii="Times New Roman" w:hAnsi="Times New Roman" w:cs="Times New Roman"/>
        </w:rPr>
        <w:t>.</w:t>
      </w:r>
    </w:p>
    <w:p w:rsidR="00794BA9" w:rsidP="00463C0F" w:rsidRDefault="00794BA9" w14:paraId="1B1FD5F1" w14:textId="77777777">
      <w:pPr>
        <w:rPr>
          <w:rFonts w:ascii="Times New Roman" w:hAnsi="Times New Roman" w:cs="Times New Roman"/>
        </w:rPr>
        <w:sectPr w:rsidR="00794BA9" w:rsidSect="00441434">
          <w:pgSz w:w="16840" w:h="11900" w:orient="landscape"/>
          <w:pgMar w:top="1134" w:right="1191" w:bottom="1134" w:left="1191" w:header="709" w:footer="709" w:gutter="0"/>
          <w:cols w:space="708"/>
          <w:docGrid w:linePitch="360"/>
        </w:sectPr>
      </w:pPr>
    </w:p>
    <w:p w:rsidRPr="00814DC1" w:rsidR="00463C0F" w:rsidP="00A9323B" w:rsidRDefault="00463C0F" w14:paraId="146FCE62" w14:textId="225111AD">
      <w:pPr>
        <w:ind w:left="708"/>
        <w:rPr>
          <w:rFonts w:ascii="Times New Roman" w:hAnsi="Times New Roman" w:cs="Times New Roman"/>
        </w:rPr>
      </w:pPr>
      <w:r w:rsidRPr="00814DC1">
        <w:rPr>
          <w:rFonts w:ascii="Times New Roman" w:hAnsi="Times New Roman" w:cs="Times New Roman"/>
        </w:rPr>
        <w:t>Grad 0 = Ikke igangsatt</w:t>
      </w:r>
    </w:p>
    <w:p w:rsidRPr="00814DC1" w:rsidR="00463C0F" w:rsidP="00A9323B" w:rsidRDefault="00463C0F" w14:paraId="204D46B7" w14:textId="77777777">
      <w:pPr>
        <w:ind w:left="708"/>
        <w:rPr>
          <w:rFonts w:ascii="Times New Roman" w:hAnsi="Times New Roman" w:cs="Times New Roman"/>
        </w:rPr>
      </w:pPr>
      <w:r w:rsidRPr="00814DC1">
        <w:rPr>
          <w:rFonts w:ascii="Times New Roman" w:hAnsi="Times New Roman" w:cs="Times New Roman"/>
        </w:rPr>
        <w:t>Grad 1 = påbegynt prosess for dette feltet</w:t>
      </w:r>
    </w:p>
    <w:p w:rsidRPr="00814DC1" w:rsidR="00463C0F" w:rsidP="00A9323B" w:rsidRDefault="00463C0F" w14:paraId="4F9EAE66" w14:textId="77777777">
      <w:pPr>
        <w:ind w:left="708"/>
        <w:rPr>
          <w:rFonts w:ascii="Times New Roman" w:hAnsi="Times New Roman" w:cs="Times New Roman"/>
        </w:rPr>
      </w:pPr>
      <w:r w:rsidRPr="00814DC1">
        <w:rPr>
          <w:rFonts w:ascii="Times New Roman" w:hAnsi="Times New Roman" w:cs="Times New Roman"/>
        </w:rPr>
        <w:t>Grad 2 = Utarbeidet plan for temaet, relevant analyse (eks ROS-analyse), identifisert tiltak</w:t>
      </w:r>
    </w:p>
    <w:p w:rsidRPr="00814DC1" w:rsidR="00463C0F" w:rsidP="00A9323B" w:rsidRDefault="00463C0F" w14:paraId="159569AE" w14:textId="77777777">
      <w:pPr>
        <w:ind w:left="708"/>
        <w:rPr>
          <w:rFonts w:ascii="Times New Roman" w:hAnsi="Times New Roman" w:cs="Times New Roman"/>
        </w:rPr>
      </w:pPr>
      <w:r w:rsidRPr="00814DC1">
        <w:rPr>
          <w:rFonts w:ascii="Times New Roman" w:hAnsi="Times New Roman" w:cs="Times New Roman"/>
        </w:rPr>
        <w:t>Grad 3 = Vedtatt helhetlig plan og planlagte tiltak, inngått forpliktende avtaler, eks budsjett i</w:t>
      </w:r>
    </w:p>
    <w:p w:rsidRPr="00814DC1" w:rsidR="00463C0F" w:rsidP="00A9323B" w:rsidRDefault="00463C0F" w14:paraId="2003FDE6" w14:textId="77777777">
      <w:pPr>
        <w:ind w:left="708"/>
        <w:rPr>
          <w:rFonts w:ascii="Times New Roman" w:hAnsi="Times New Roman" w:cs="Times New Roman"/>
        </w:rPr>
      </w:pPr>
      <w:r w:rsidRPr="00814DC1">
        <w:rPr>
          <w:rFonts w:ascii="Times New Roman" w:hAnsi="Times New Roman" w:cs="Times New Roman"/>
        </w:rPr>
        <w:t>balanse etc.</w:t>
      </w:r>
    </w:p>
    <w:p w:rsidRPr="00814DC1" w:rsidR="00463C0F" w:rsidP="00A9323B" w:rsidRDefault="00463C0F" w14:paraId="5430112F" w14:textId="77777777">
      <w:pPr>
        <w:ind w:left="708"/>
        <w:rPr>
          <w:rFonts w:ascii="Times New Roman" w:hAnsi="Times New Roman" w:cs="Times New Roman"/>
        </w:rPr>
      </w:pPr>
      <w:r w:rsidRPr="00814DC1">
        <w:rPr>
          <w:rFonts w:ascii="Times New Roman" w:hAnsi="Times New Roman" w:cs="Times New Roman"/>
        </w:rPr>
        <w:t>Grad 4 = Arrangør kan vise til at konsept fungerer, tiltak er kommunisert ut, gjennomføres</w:t>
      </w:r>
    </w:p>
    <w:p w:rsidRPr="00814DC1" w:rsidR="00463C0F" w:rsidP="00A9323B" w:rsidRDefault="00463C0F" w14:paraId="53100D7E" w14:textId="77777777">
      <w:pPr>
        <w:ind w:left="708"/>
        <w:rPr>
          <w:rFonts w:ascii="Times New Roman" w:hAnsi="Times New Roman" w:cs="Times New Roman"/>
        </w:rPr>
      </w:pPr>
      <w:r w:rsidRPr="00814DC1">
        <w:rPr>
          <w:rFonts w:ascii="Times New Roman" w:hAnsi="Times New Roman" w:cs="Times New Roman"/>
        </w:rPr>
        <w:t>på akseptabelt nivå</w:t>
      </w:r>
    </w:p>
    <w:p w:rsidRPr="00814DC1" w:rsidR="00463C0F" w:rsidP="00A9323B" w:rsidRDefault="00463C0F" w14:paraId="29E27750" w14:textId="77777777">
      <w:pPr>
        <w:ind w:left="708"/>
        <w:rPr>
          <w:rFonts w:ascii="Times New Roman" w:hAnsi="Times New Roman" w:cs="Times New Roman"/>
        </w:rPr>
      </w:pPr>
      <w:r w:rsidRPr="00814DC1">
        <w:rPr>
          <w:rFonts w:ascii="Times New Roman" w:hAnsi="Times New Roman" w:cs="Times New Roman"/>
        </w:rPr>
        <w:t>Grad 5 = Sterk regional betydning, kan vise til gjennomføringsevne. (Innen «Miljø» vil dette</w:t>
      </w:r>
    </w:p>
    <w:p w:rsidRPr="00814DC1" w:rsidR="00463C0F" w:rsidP="00A9323B" w:rsidRDefault="00463C0F" w14:paraId="7CC3E934" w14:textId="6BD5D607">
      <w:pPr>
        <w:ind w:left="708"/>
        <w:rPr>
          <w:rFonts w:ascii="Times New Roman" w:hAnsi="Times New Roman" w:cs="Times New Roman"/>
        </w:rPr>
      </w:pPr>
      <w:r w:rsidRPr="00814DC1">
        <w:rPr>
          <w:rFonts w:ascii="Times New Roman" w:hAnsi="Times New Roman" w:cs="Times New Roman"/>
        </w:rPr>
        <w:t>være tilstrekkelig for regionens miljøgodkjenning i henhold til standard for miljøgodkjent</w:t>
      </w:r>
      <w:r w:rsidR="00A9323B">
        <w:rPr>
          <w:rFonts w:ascii="Times New Roman" w:hAnsi="Times New Roman" w:cs="Times New Roman"/>
        </w:rPr>
        <w:t xml:space="preserve"> </w:t>
      </w:r>
      <w:r w:rsidRPr="00814DC1">
        <w:rPr>
          <w:rFonts w:ascii="Times New Roman" w:hAnsi="Times New Roman" w:cs="Times New Roman"/>
        </w:rPr>
        <w:t>arrangement)</w:t>
      </w:r>
    </w:p>
    <w:p w:rsidRPr="00FE6A8F" w:rsidR="00284705" w:rsidP="00A9323B" w:rsidRDefault="00463C0F" w14:paraId="075E6871" w14:textId="0C87A45B">
      <w:pPr>
        <w:ind w:left="708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6"/>
          <w:szCs w:val="26"/>
        </w:rPr>
      </w:pPr>
      <w:r w:rsidRPr="00814DC1">
        <w:rPr>
          <w:rFonts w:ascii="Times New Roman" w:hAnsi="Times New Roman" w:cs="Times New Roman"/>
        </w:rPr>
        <w:t>Grad 6 = Har betydelig nasjonal betydning, inneholder gjerne banebrytende tiltak. (Innen</w:t>
      </w:r>
      <w:r w:rsidR="00255EA8">
        <w:rPr>
          <w:rFonts w:ascii="Times New Roman" w:hAnsi="Times New Roman" w:cs="Times New Roman"/>
        </w:rPr>
        <w:t xml:space="preserve"> </w:t>
      </w:r>
      <w:r w:rsidRPr="00814DC1">
        <w:rPr>
          <w:rFonts w:ascii="Times New Roman" w:hAnsi="Times New Roman" w:cs="Times New Roman"/>
        </w:rPr>
        <w:t>miljø: formell miljøsertifisering)</w:t>
      </w:r>
      <w:r w:rsidRPr="00FE6A8F" w:rsidR="00284705">
        <w:rPr>
          <w:b/>
          <w:bCs/>
        </w:rPr>
        <w:br w:type="page"/>
      </w:r>
    </w:p>
    <w:p w:rsidR="00794BA9" w:rsidP="00482F2B" w:rsidRDefault="00794BA9" w14:paraId="75F19B77" w14:textId="77777777">
      <w:pPr>
        <w:pStyle w:val="Overskrift2"/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794BA9" w:rsidSect="00D631D5">
          <w:type w:val="continuous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Pr="003C3B0E" w:rsidR="006D206C" w:rsidP="00482F2B" w:rsidRDefault="00BC3C6F" w14:paraId="2199723B" w14:textId="2F5F4BF4">
      <w:pPr>
        <w:pStyle w:val="Overskrift2"/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3B0E"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Økonomi</w:t>
      </w:r>
    </w:p>
    <w:p w:rsidR="00482F2B" w:rsidP="00482F2B" w:rsidRDefault="00482F2B" w14:paraId="16C00360" w14:textId="77777777">
      <w:pPr>
        <w:pStyle w:val="Listeavsnitt"/>
        <w:rPr>
          <w:b/>
        </w:rPr>
      </w:pPr>
    </w:p>
    <w:p w:rsidRPr="009F3536" w:rsidR="00482F2B" w:rsidP="00482F2B" w:rsidRDefault="00482F2B" w14:paraId="5F4E275B" w14:textId="77777777">
      <w:pPr>
        <w:rPr>
          <w:b/>
          <w:i/>
        </w:rPr>
      </w:pPr>
      <w:r w:rsidRPr="009F3536">
        <w:rPr>
          <w:b/>
          <w:i/>
        </w:rPr>
        <w:t xml:space="preserve">Forutsetning: Et bærekraftig arrangement har positive regnskapstall etter at eventuelle </w:t>
      </w:r>
      <w:r>
        <w:rPr>
          <w:b/>
          <w:i/>
        </w:rPr>
        <w:t xml:space="preserve">varige </w:t>
      </w:r>
      <w:r w:rsidRPr="009F3536">
        <w:rPr>
          <w:b/>
          <w:i/>
        </w:rPr>
        <w:t>offentlige tilskudd er medregnet.</w:t>
      </w:r>
    </w:p>
    <w:p w:rsidRPr="00BC3C6F" w:rsidR="00482F2B" w:rsidP="00482F2B" w:rsidRDefault="00482F2B" w14:paraId="5448B1B6" w14:textId="77777777">
      <w:pPr>
        <w:rPr>
          <w:b/>
        </w:rPr>
      </w:pPr>
    </w:p>
    <w:p w:rsidR="00482F2B" w:rsidRDefault="00482F2B" w14:paraId="03D6834A" w14:textId="77777777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20"/>
        <w:gridCol w:w="3502"/>
        <w:gridCol w:w="2642"/>
        <w:gridCol w:w="409"/>
        <w:gridCol w:w="409"/>
        <w:gridCol w:w="411"/>
        <w:gridCol w:w="409"/>
        <w:gridCol w:w="409"/>
        <w:gridCol w:w="414"/>
        <w:gridCol w:w="3171"/>
      </w:tblGrid>
      <w:tr w:rsidR="00553E2E" w:rsidTr="00482F2B" w14:paraId="61BB6A33" w14:textId="77777777">
        <w:tc>
          <w:tcPr>
            <w:tcW w:w="793" w:type="pct"/>
            <w:vMerge w:val="restart"/>
          </w:tcPr>
          <w:p w:rsidR="00482F2B" w:rsidRDefault="00482F2B" w14:paraId="57775E23" w14:textId="77777777">
            <w:r>
              <w:t>Parameter</w:t>
            </w:r>
          </w:p>
        </w:tc>
        <w:tc>
          <w:tcPr>
            <w:tcW w:w="1251" w:type="pct"/>
            <w:vMerge w:val="restart"/>
          </w:tcPr>
          <w:p w:rsidR="00482F2B" w:rsidRDefault="00482F2B" w14:paraId="19633DA8" w14:textId="77777777">
            <w:r>
              <w:t>Hvorfor?</w:t>
            </w:r>
          </w:p>
        </w:tc>
        <w:tc>
          <w:tcPr>
            <w:tcW w:w="944" w:type="pct"/>
            <w:vMerge w:val="restart"/>
          </w:tcPr>
          <w:p w:rsidR="00482F2B" w:rsidRDefault="00482F2B" w14:paraId="0F4120D0" w14:textId="77777777">
            <w:r>
              <w:t>Hvordan måle?</w:t>
            </w:r>
          </w:p>
        </w:tc>
        <w:tc>
          <w:tcPr>
            <w:tcW w:w="877" w:type="pct"/>
            <w:gridSpan w:val="6"/>
          </w:tcPr>
          <w:p w:rsidR="00482F2B" w:rsidRDefault="00482F2B" w14:paraId="509489AD" w14:textId="77777777">
            <w:r>
              <w:t>Status</w:t>
            </w:r>
          </w:p>
        </w:tc>
        <w:tc>
          <w:tcPr>
            <w:tcW w:w="1134" w:type="pct"/>
            <w:vMerge w:val="restart"/>
          </w:tcPr>
          <w:p w:rsidR="00482F2B" w:rsidRDefault="00482F2B" w14:paraId="6D72A1F0" w14:textId="77777777">
            <w:r>
              <w:t>Videre oppfølging</w:t>
            </w:r>
          </w:p>
        </w:tc>
      </w:tr>
      <w:tr w:rsidR="00553E2E" w:rsidTr="00482F2B" w14:paraId="3B6D3D16" w14:textId="77777777">
        <w:tc>
          <w:tcPr>
            <w:tcW w:w="793" w:type="pct"/>
            <w:vMerge/>
          </w:tcPr>
          <w:p w:rsidR="00482F2B" w:rsidRDefault="00482F2B" w14:paraId="6DE603A9" w14:textId="77777777"/>
        </w:tc>
        <w:tc>
          <w:tcPr>
            <w:tcW w:w="1251" w:type="pct"/>
            <w:vMerge/>
          </w:tcPr>
          <w:p w:rsidR="00482F2B" w:rsidRDefault="00482F2B" w14:paraId="2C276222" w14:textId="77777777"/>
        </w:tc>
        <w:tc>
          <w:tcPr>
            <w:tcW w:w="944" w:type="pct"/>
            <w:vMerge/>
          </w:tcPr>
          <w:p w:rsidR="00482F2B" w:rsidRDefault="00482F2B" w14:paraId="7DEC7004" w14:textId="77777777"/>
        </w:tc>
        <w:tc>
          <w:tcPr>
            <w:tcW w:w="146" w:type="pct"/>
          </w:tcPr>
          <w:p w:rsidR="00482F2B" w:rsidRDefault="00482F2B" w14:paraId="72923619" w14:textId="77777777">
            <w:r>
              <w:t>1</w:t>
            </w:r>
          </w:p>
        </w:tc>
        <w:tc>
          <w:tcPr>
            <w:tcW w:w="146" w:type="pct"/>
          </w:tcPr>
          <w:p w:rsidR="00482F2B" w:rsidRDefault="00482F2B" w14:paraId="6E32459B" w14:textId="77777777">
            <w:r>
              <w:t>2</w:t>
            </w:r>
          </w:p>
        </w:tc>
        <w:tc>
          <w:tcPr>
            <w:tcW w:w="147" w:type="pct"/>
          </w:tcPr>
          <w:p w:rsidR="00482F2B" w:rsidRDefault="00482F2B" w14:paraId="19A53423" w14:textId="77777777">
            <w:r>
              <w:t>3</w:t>
            </w:r>
          </w:p>
        </w:tc>
        <w:tc>
          <w:tcPr>
            <w:tcW w:w="146" w:type="pct"/>
          </w:tcPr>
          <w:p w:rsidR="00482F2B" w:rsidRDefault="00482F2B" w14:paraId="71CDDAAF" w14:textId="77777777">
            <w:r>
              <w:t>4</w:t>
            </w:r>
          </w:p>
        </w:tc>
        <w:tc>
          <w:tcPr>
            <w:tcW w:w="146" w:type="pct"/>
          </w:tcPr>
          <w:p w:rsidR="00482F2B" w:rsidRDefault="00482F2B" w14:paraId="014B5FB8" w14:textId="77777777">
            <w:r>
              <w:t>5</w:t>
            </w:r>
          </w:p>
        </w:tc>
        <w:tc>
          <w:tcPr>
            <w:tcW w:w="148" w:type="pct"/>
          </w:tcPr>
          <w:p w:rsidR="00482F2B" w:rsidRDefault="00482F2B" w14:paraId="43A3B7F0" w14:textId="77777777">
            <w:r>
              <w:t>6</w:t>
            </w:r>
          </w:p>
        </w:tc>
        <w:tc>
          <w:tcPr>
            <w:tcW w:w="1134" w:type="pct"/>
            <w:vMerge/>
          </w:tcPr>
          <w:p w:rsidR="00482F2B" w:rsidRDefault="00482F2B" w14:paraId="7AD43E76" w14:textId="77777777"/>
        </w:tc>
      </w:tr>
      <w:tr w:rsidR="00553E2E" w:rsidTr="00482F2B" w14:paraId="0F6923EA" w14:textId="77777777">
        <w:tc>
          <w:tcPr>
            <w:tcW w:w="793" w:type="pct"/>
          </w:tcPr>
          <w:p w:rsidR="00577DA6" w:rsidRDefault="00577DA6" w14:paraId="68CD5785" w14:textId="77777777">
            <w:r>
              <w:t>Bedriftsøkonomisk resultat</w:t>
            </w:r>
          </w:p>
        </w:tc>
        <w:tc>
          <w:tcPr>
            <w:tcW w:w="1251" w:type="pct"/>
          </w:tcPr>
          <w:p w:rsidR="00577DA6" w:rsidRDefault="00577DA6" w14:paraId="28A3840D" w14:textId="3145A636">
            <w:r>
              <w:t>Et arrangement må ha en sunn økonomi i bunn for å kunne være bærekraftig. Om arrangementet er avhengig av offentlige tilskudd, må langsiktigheten være avklart</w:t>
            </w:r>
            <w:r w:rsidR="00E06D2A">
              <w:t>.</w:t>
            </w:r>
          </w:p>
        </w:tc>
        <w:tc>
          <w:tcPr>
            <w:tcW w:w="944" w:type="pct"/>
          </w:tcPr>
          <w:p w:rsidR="00577DA6" w:rsidRDefault="00577DA6" w14:paraId="240DAE6E" w14:textId="568A6959">
            <w:r>
              <w:t xml:space="preserve">Budsjett og regnskap. Måles både med og uten </w:t>
            </w:r>
            <w:r w:rsidR="00702BC5">
              <w:t xml:space="preserve">offentlige </w:t>
            </w:r>
            <w:r>
              <w:t>tilskudd</w:t>
            </w:r>
          </w:p>
        </w:tc>
        <w:tc>
          <w:tcPr>
            <w:tcW w:w="146" w:type="pct"/>
          </w:tcPr>
          <w:p w:rsidR="00577DA6" w:rsidRDefault="00577DA6" w14:paraId="3BE98548" w14:textId="77777777"/>
        </w:tc>
        <w:tc>
          <w:tcPr>
            <w:tcW w:w="146" w:type="pct"/>
          </w:tcPr>
          <w:p w:rsidR="00577DA6" w:rsidRDefault="00577DA6" w14:paraId="08AAF466" w14:textId="77777777"/>
        </w:tc>
        <w:tc>
          <w:tcPr>
            <w:tcW w:w="147" w:type="pct"/>
          </w:tcPr>
          <w:p w:rsidR="00577DA6" w:rsidRDefault="00577DA6" w14:paraId="216EAD58" w14:textId="77777777"/>
        </w:tc>
        <w:tc>
          <w:tcPr>
            <w:tcW w:w="146" w:type="pct"/>
          </w:tcPr>
          <w:p w:rsidR="00577DA6" w:rsidRDefault="00577DA6" w14:paraId="2DFCDCF7" w14:textId="77777777"/>
        </w:tc>
        <w:tc>
          <w:tcPr>
            <w:tcW w:w="146" w:type="pct"/>
          </w:tcPr>
          <w:p w:rsidR="00577DA6" w:rsidRDefault="00577DA6" w14:paraId="58B5BAF5" w14:textId="77777777"/>
        </w:tc>
        <w:tc>
          <w:tcPr>
            <w:tcW w:w="148" w:type="pct"/>
          </w:tcPr>
          <w:p w:rsidR="00577DA6" w:rsidRDefault="00577DA6" w14:paraId="4ED230EE" w14:textId="77777777"/>
        </w:tc>
        <w:tc>
          <w:tcPr>
            <w:tcW w:w="1134" w:type="pct"/>
          </w:tcPr>
          <w:p w:rsidR="00577DA6" w:rsidRDefault="00577DA6" w14:paraId="70ABF1D3" w14:textId="77777777"/>
        </w:tc>
      </w:tr>
      <w:tr w:rsidR="00553E2E" w:rsidTr="00482F2B" w14:paraId="2242FF32" w14:textId="77777777">
        <w:tc>
          <w:tcPr>
            <w:tcW w:w="793" w:type="pct"/>
          </w:tcPr>
          <w:p w:rsidR="00577DA6" w:rsidRDefault="00577DA6" w14:paraId="4F939003" w14:textId="77777777">
            <w:r>
              <w:t>Regional verdiskapning</w:t>
            </w:r>
          </w:p>
        </w:tc>
        <w:tc>
          <w:tcPr>
            <w:tcW w:w="1251" w:type="pct"/>
          </w:tcPr>
          <w:p w:rsidR="00577DA6" w:rsidRDefault="00577DA6" w14:paraId="6B08B248" w14:textId="58064334">
            <w:r>
              <w:t>Regional verdiskapning er stor fra mange arrangementer. Stor regional verdiskapning vil gjøre det enklere å yte offentlige tilskudd</w:t>
            </w:r>
            <w:r w:rsidR="00E06D2A">
              <w:t>.</w:t>
            </w:r>
            <w:bookmarkStart w:name="_GoBack" w:id="0"/>
            <w:bookmarkEnd w:id="0"/>
          </w:p>
        </w:tc>
        <w:tc>
          <w:tcPr>
            <w:tcW w:w="944" w:type="pct"/>
          </w:tcPr>
          <w:p w:rsidRPr="006D3AF5" w:rsidR="005B75A8" w:rsidRDefault="00553E2E" w14:paraId="59115EC6" w14:textId="77777777">
            <w:r w:rsidRPr="006D3AF5">
              <w:t xml:space="preserve">For større arrangement: </w:t>
            </w:r>
            <w:r w:rsidRPr="006D3AF5" w:rsidR="00577DA6">
              <w:t>Arrangementskalkulator</w:t>
            </w:r>
          </w:p>
          <w:p w:rsidR="00577DA6" w:rsidRDefault="005B75A8" w14:paraId="47AC6346" w14:textId="0AC3EDC3">
            <w:r w:rsidRPr="006D3AF5">
              <w:t xml:space="preserve">For andre: </w:t>
            </w:r>
            <w:r w:rsidRPr="006D3AF5" w:rsidR="003E442B">
              <w:t>kvalitativ vurdering</w:t>
            </w:r>
            <w:r w:rsidRPr="006D3AF5" w:rsidR="00577DA6">
              <w:t xml:space="preserve"> </w:t>
            </w:r>
          </w:p>
        </w:tc>
        <w:tc>
          <w:tcPr>
            <w:tcW w:w="146" w:type="pct"/>
          </w:tcPr>
          <w:p w:rsidR="00577DA6" w:rsidRDefault="00577DA6" w14:paraId="3B695CA8" w14:textId="77777777"/>
        </w:tc>
        <w:tc>
          <w:tcPr>
            <w:tcW w:w="146" w:type="pct"/>
          </w:tcPr>
          <w:p w:rsidR="00577DA6" w:rsidRDefault="00577DA6" w14:paraId="541465E8" w14:textId="77777777"/>
        </w:tc>
        <w:tc>
          <w:tcPr>
            <w:tcW w:w="147" w:type="pct"/>
          </w:tcPr>
          <w:p w:rsidR="00577DA6" w:rsidRDefault="00577DA6" w14:paraId="2D965D0F" w14:textId="77777777"/>
        </w:tc>
        <w:tc>
          <w:tcPr>
            <w:tcW w:w="146" w:type="pct"/>
          </w:tcPr>
          <w:p w:rsidR="00577DA6" w:rsidRDefault="00577DA6" w14:paraId="7C7CD1E0" w14:textId="77777777"/>
        </w:tc>
        <w:tc>
          <w:tcPr>
            <w:tcW w:w="146" w:type="pct"/>
          </w:tcPr>
          <w:p w:rsidR="00577DA6" w:rsidRDefault="00577DA6" w14:paraId="5B8C7EE0" w14:textId="77777777"/>
        </w:tc>
        <w:tc>
          <w:tcPr>
            <w:tcW w:w="148" w:type="pct"/>
          </w:tcPr>
          <w:p w:rsidR="00577DA6" w:rsidRDefault="00577DA6" w14:paraId="37EC44FF" w14:textId="77777777"/>
        </w:tc>
        <w:tc>
          <w:tcPr>
            <w:tcW w:w="1134" w:type="pct"/>
          </w:tcPr>
          <w:p w:rsidR="00577DA6" w:rsidRDefault="00577DA6" w14:paraId="7E1FBA82" w14:textId="77777777"/>
        </w:tc>
      </w:tr>
      <w:tr w:rsidR="00553E2E" w:rsidTr="00482F2B" w14:paraId="7E1E60C1" w14:textId="77777777">
        <w:tc>
          <w:tcPr>
            <w:tcW w:w="793" w:type="pct"/>
          </w:tcPr>
          <w:p w:rsidR="00577DA6" w:rsidRDefault="00702BC5" w14:paraId="7F44DF47" w14:textId="5B0A2565">
            <w:r>
              <w:t xml:space="preserve">Nasjonale </w:t>
            </w:r>
            <w:r w:rsidR="00577DA6">
              <w:t>investeringer</w:t>
            </w:r>
          </w:p>
        </w:tc>
        <w:tc>
          <w:tcPr>
            <w:tcW w:w="1251" w:type="pct"/>
          </w:tcPr>
          <w:p w:rsidR="00577DA6" w:rsidRDefault="00577DA6" w14:paraId="103696E4" w14:textId="7721B487">
            <w:r>
              <w:t xml:space="preserve">Noen arrangementer </w:t>
            </w:r>
            <w:r w:rsidRPr="00BC3C6F">
              <w:t xml:space="preserve">utløser </w:t>
            </w:r>
            <w:r>
              <w:t>nødvendige</w:t>
            </w:r>
            <w:r w:rsidR="00702BC5">
              <w:t xml:space="preserve"> eksternfinansierte</w:t>
            </w:r>
            <w:r w:rsidRPr="007F5A7E">
              <w:rPr>
                <w:color w:val="FF0000"/>
              </w:rPr>
              <w:t xml:space="preserve"> </w:t>
            </w:r>
            <w:r w:rsidRPr="00BC3C6F">
              <w:t>investeringer</w:t>
            </w:r>
            <w:r>
              <w:t xml:space="preserve"> i oppgraderte anlegg</w:t>
            </w:r>
          </w:p>
        </w:tc>
        <w:tc>
          <w:tcPr>
            <w:tcW w:w="944" w:type="pct"/>
          </w:tcPr>
          <w:p w:rsidR="00577DA6" w:rsidRDefault="00577DA6" w14:paraId="1947521E" w14:textId="77777777">
            <w:r>
              <w:t>Budsjett og regnskap</w:t>
            </w:r>
          </w:p>
        </w:tc>
        <w:tc>
          <w:tcPr>
            <w:tcW w:w="146" w:type="pct"/>
          </w:tcPr>
          <w:p w:rsidR="00577DA6" w:rsidRDefault="00577DA6" w14:paraId="6025FF98" w14:textId="77777777"/>
        </w:tc>
        <w:tc>
          <w:tcPr>
            <w:tcW w:w="146" w:type="pct"/>
          </w:tcPr>
          <w:p w:rsidR="00577DA6" w:rsidRDefault="00577DA6" w14:paraId="2CCB5AFD" w14:textId="77777777"/>
        </w:tc>
        <w:tc>
          <w:tcPr>
            <w:tcW w:w="147" w:type="pct"/>
          </w:tcPr>
          <w:p w:rsidR="00577DA6" w:rsidRDefault="00577DA6" w14:paraId="106E5D8D" w14:textId="77777777"/>
        </w:tc>
        <w:tc>
          <w:tcPr>
            <w:tcW w:w="146" w:type="pct"/>
          </w:tcPr>
          <w:p w:rsidR="00577DA6" w:rsidRDefault="00577DA6" w14:paraId="7507A231" w14:textId="77777777"/>
        </w:tc>
        <w:tc>
          <w:tcPr>
            <w:tcW w:w="146" w:type="pct"/>
          </w:tcPr>
          <w:p w:rsidR="00577DA6" w:rsidRDefault="00577DA6" w14:paraId="40E625F1" w14:textId="77777777"/>
        </w:tc>
        <w:tc>
          <w:tcPr>
            <w:tcW w:w="148" w:type="pct"/>
          </w:tcPr>
          <w:p w:rsidR="00577DA6" w:rsidRDefault="00577DA6" w14:paraId="584A5701" w14:textId="77777777"/>
        </w:tc>
        <w:tc>
          <w:tcPr>
            <w:tcW w:w="1134" w:type="pct"/>
          </w:tcPr>
          <w:p w:rsidR="00577DA6" w:rsidRDefault="00577DA6" w14:paraId="36F8B401" w14:textId="77777777"/>
        </w:tc>
      </w:tr>
      <w:tr w:rsidR="00553E2E" w:rsidTr="00482F2B" w14:paraId="57ED1453" w14:textId="77777777">
        <w:tc>
          <w:tcPr>
            <w:tcW w:w="793" w:type="pct"/>
          </w:tcPr>
          <w:p w:rsidR="00577DA6" w:rsidRDefault="00577DA6" w14:paraId="6E72B682" w14:textId="77777777">
            <w:r>
              <w:t>Markedsverdi</w:t>
            </w:r>
          </w:p>
        </w:tc>
        <w:tc>
          <w:tcPr>
            <w:tcW w:w="1251" w:type="pct"/>
          </w:tcPr>
          <w:p w:rsidR="007B1393" w:rsidP="00FD694D" w:rsidRDefault="00577DA6" w14:paraId="41D096BB" w14:textId="15C46C47">
            <w:r>
              <w:t>Arrangementer med dekning enten i tradisjonelle medier (eks lineær-TV) eller moderne medier (</w:t>
            </w:r>
            <w:r w:rsidR="00482F2B">
              <w:t>eks Youtube) har en markedsverdi for regionen</w:t>
            </w:r>
            <w:r w:rsidR="00FD694D">
              <w:t>, både nasjonalt og internasjonalt</w:t>
            </w:r>
          </w:p>
        </w:tc>
        <w:tc>
          <w:tcPr>
            <w:tcW w:w="944" w:type="pct"/>
          </w:tcPr>
          <w:p w:rsidR="00577DA6" w:rsidRDefault="00482F2B" w14:paraId="54E38861" w14:textId="77777777">
            <w:r>
              <w:t>Det er en svært komplisert øvelse og beregne markedsverdi. Beste måleparameter er rekkevidde gjennom relevant mediekanal</w:t>
            </w:r>
          </w:p>
          <w:p w:rsidR="007B1393" w:rsidRDefault="007B1393" w14:paraId="7A33675C" w14:textId="253E581D"/>
        </w:tc>
        <w:tc>
          <w:tcPr>
            <w:tcW w:w="146" w:type="pct"/>
          </w:tcPr>
          <w:p w:rsidR="00577DA6" w:rsidRDefault="00577DA6" w14:paraId="2111360D" w14:textId="77777777"/>
        </w:tc>
        <w:tc>
          <w:tcPr>
            <w:tcW w:w="146" w:type="pct"/>
          </w:tcPr>
          <w:p w:rsidR="00577DA6" w:rsidRDefault="00577DA6" w14:paraId="2C534D7E" w14:textId="77777777"/>
        </w:tc>
        <w:tc>
          <w:tcPr>
            <w:tcW w:w="147" w:type="pct"/>
          </w:tcPr>
          <w:p w:rsidR="00577DA6" w:rsidRDefault="00577DA6" w14:paraId="12D09A2A" w14:textId="77777777"/>
        </w:tc>
        <w:tc>
          <w:tcPr>
            <w:tcW w:w="146" w:type="pct"/>
          </w:tcPr>
          <w:p w:rsidR="00577DA6" w:rsidRDefault="00577DA6" w14:paraId="67B70A5B" w14:textId="77777777"/>
        </w:tc>
        <w:tc>
          <w:tcPr>
            <w:tcW w:w="146" w:type="pct"/>
          </w:tcPr>
          <w:p w:rsidR="00577DA6" w:rsidRDefault="00577DA6" w14:paraId="741541BD" w14:textId="77777777"/>
        </w:tc>
        <w:tc>
          <w:tcPr>
            <w:tcW w:w="148" w:type="pct"/>
          </w:tcPr>
          <w:p w:rsidR="00577DA6" w:rsidRDefault="00577DA6" w14:paraId="6E87D316" w14:textId="77777777"/>
        </w:tc>
        <w:tc>
          <w:tcPr>
            <w:tcW w:w="1134" w:type="pct"/>
          </w:tcPr>
          <w:p w:rsidR="00577DA6" w:rsidRDefault="00577DA6" w14:paraId="6BB9F4B1" w14:textId="77777777"/>
        </w:tc>
      </w:tr>
      <w:tr w:rsidR="00553E2E" w:rsidTr="00482F2B" w14:paraId="36F6CE3E" w14:textId="77777777">
        <w:tc>
          <w:tcPr>
            <w:tcW w:w="793" w:type="pct"/>
          </w:tcPr>
          <w:p w:rsidR="00B05447" w:rsidRDefault="00B05447" w14:paraId="3D318EE4" w14:textId="77777777">
            <w:r>
              <w:lastRenderedPageBreak/>
              <w:t>Innovasjon og nytenkning</w:t>
            </w:r>
          </w:p>
        </w:tc>
        <w:tc>
          <w:tcPr>
            <w:tcW w:w="1251" w:type="pct"/>
          </w:tcPr>
          <w:p w:rsidR="00B05447" w:rsidRDefault="00B05447" w14:paraId="31439965" w14:textId="2D040A2A">
            <w:r>
              <w:t xml:space="preserve">Arrangementer må over tid </w:t>
            </w:r>
            <w:r w:rsidR="00053543">
              <w:t>fornye seg for å være attraktive for sponsorer</w:t>
            </w:r>
            <w:r w:rsidR="00D00D16">
              <w:t xml:space="preserve">, </w:t>
            </w:r>
            <w:r w:rsidRPr="006D3AF5" w:rsidR="00D00D16">
              <w:t>deltakere</w:t>
            </w:r>
            <w:r w:rsidRPr="006D3AF5" w:rsidR="00053543">
              <w:t xml:space="preserve"> og tilskuere. Et hvert arrangement </w:t>
            </w:r>
            <w:r w:rsidR="00053543">
              <w:t>må derfor ha et forhold til hvordan innovasjoner kan styrke deres arrangement og regionens øvrige arrangementer</w:t>
            </w:r>
          </w:p>
        </w:tc>
        <w:tc>
          <w:tcPr>
            <w:tcW w:w="944" w:type="pct"/>
          </w:tcPr>
          <w:p w:rsidR="00B05447" w:rsidRDefault="00053543" w14:paraId="096085FF" w14:textId="77777777">
            <w:r>
              <w:t>Kvalitet på planen</w:t>
            </w:r>
          </w:p>
        </w:tc>
        <w:tc>
          <w:tcPr>
            <w:tcW w:w="146" w:type="pct"/>
          </w:tcPr>
          <w:p w:rsidR="00B05447" w:rsidRDefault="00B05447" w14:paraId="570133FE" w14:textId="77777777"/>
        </w:tc>
        <w:tc>
          <w:tcPr>
            <w:tcW w:w="146" w:type="pct"/>
          </w:tcPr>
          <w:p w:rsidR="00B05447" w:rsidRDefault="00B05447" w14:paraId="6434857E" w14:textId="77777777"/>
        </w:tc>
        <w:tc>
          <w:tcPr>
            <w:tcW w:w="147" w:type="pct"/>
          </w:tcPr>
          <w:p w:rsidR="00B05447" w:rsidRDefault="00B05447" w14:paraId="4DF21408" w14:textId="77777777"/>
        </w:tc>
        <w:tc>
          <w:tcPr>
            <w:tcW w:w="146" w:type="pct"/>
          </w:tcPr>
          <w:p w:rsidR="00B05447" w:rsidRDefault="00B05447" w14:paraId="5AF747E7" w14:textId="77777777"/>
        </w:tc>
        <w:tc>
          <w:tcPr>
            <w:tcW w:w="146" w:type="pct"/>
          </w:tcPr>
          <w:p w:rsidR="00B05447" w:rsidRDefault="00B05447" w14:paraId="5B8E5051" w14:textId="77777777"/>
        </w:tc>
        <w:tc>
          <w:tcPr>
            <w:tcW w:w="148" w:type="pct"/>
          </w:tcPr>
          <w:p w:rsidR="00B05447" w:rsidRDefault="00B05447" w14:paraId="7DAC26BD" w14:textId="77777777"/>
        </w:tc>
        <w:tc>
          <w:tcPr>
            <w:tcW w:w="1134" w:type="pct"/>
          </w:tcPr>
          <w:p w:rsidR="00B05447" w:rsidRDefault="00B05447" w14:paraId="50570F67" w14:textId="77777777"/>
        </w:tc>
      </w:tr>
      <w:tr w:rsidR="00553E2E" w:rsidTr="00482F2B" w14:paraId="16FACAC7" w14:textId="77777777">
        <w:tc>
          <w:tcPr>
            <w:tcW w:w="793" w:type="pct"/>
          </w:tcPr>
          <w:p w:rsidR="00A67F6D" w:rsidRDefault="00A67F6D" w14:paraId="3552E29C" w14:textId="77777777">
            <w:r>
              <w:t>Påvirkning på andre arrangementer</w:t>
            </w:r>
          </w:p>
        </w:tc>
        <w:tc>
          <w:tcPr>
            <w:tcW w:w="1251" w:type="pct"/>
          </w:tcPr>
          <w:p w:rsidRPr="00954D23" w:rsidR="00A67F6D" w:rsidP="007B1393" w:rsidRDefault="007B1393" w14:paraId="47CC5C74" w14:textId="7B35E350">
            <w:pPr>
              <w:rPr>
                <w:color w:val="000000" w:themeColor="text1"/>
              </w:rPr>
            </w:pPr>
            <w:r w:rsidRPr="00954D23">
              <w:rPr>
                <w:color w:val="000000" w:themeColor="text1"/>
              </w:rPr>
              <w:t>Arrangementene skal tilstrebe positive effekter for andre arrangementer</w:t>
            </w:r>
            <w:r w:rsidR="00954D23">
              <w:rPr>
                <w:color w:val="000000" w:themeColor="text1"/>
              </w:rPr>
              <w:t xml:space="preserve"> gjennom å inngå samarbeid. </w:t>
            </w:r>
            <w:r>
              <w:t>De</w:t>
            </w:r>
            <w:r w:rsidR="00A67F6D">
              <w:t xml:space="preserve"> skal begrense sin negative påvirkning på økonomien til andre arrangementer. Slik negativ påvirkning kan oppstå hvis konkurransesituasjonen blir for stor</w:t>
            </w:r>
          </w:p>
        </w:tc>
        <w:tc>
          <w:tcPr>
            <w:tcW w:w="944" w:type="pct"/>
          </w:tcPr>
          <w:p w:rsidR="00A67F6D" w:rsidRDefault="00A67F6D" w14:paraId="0603A98F" w14:textId="77777777">
            <w:r>
              <w:t>Kvalitativ vurdering basert på kjente arrangementer</w:t>
            </w:r>
          </w:p>
        </w:tc>
        <w:tc>
          <w:tcPr>
            <w:tcW w:w="146" w:type="pct"/>
          </w:tcPr>
          <w:p w:rsidR="00A67F6D" w:rsidRDefault="00A67F6D" w14:paraId="558C7723" w14:textId="77777777"/>
        </w:tc>
        <w:tc>
          <w:tcPr>
            <w:tcW w:w="146" w:type="pct"/>
          </w:tcPr>
          <w:p w:rsidR="00A67F6D" w:rsidRDefault="00A67F6D" w14:paraId="08C36FA8" w14:textId="77777777"/>
        </w:tc>
        <w:tc>
          <w:tcPr>
            <w:tcW w:w="147" w:type="pct"/>
          </w:tcPr>
          <w:p w:rsidR="00A67F6D" w:rsidRDefault="00A67F6D" w14:paraId="4C9F2FC3" w14:textId="77777777"/>
        </w:tc>
        <w:tc>
          <w:tcPr>
            <w:tcW w:w="146" w:type="pct"/>
          </w:tcPr>
          <w:p w:rsidR="00A67F6D" w:rsidRDefault="00A67F6D" w14:paraId="11F81A5E" w14:textId="77777777"/>
        </w:tc>
        <w:tc>
          <w:tcPr>
            <w:tcW w:w="146" w:type="pct"/>
          </w:tcPr>
          <w:p w:rsidR="00A67F6D" w:rsidRDefault="00A67F6D" w14:paraId="76184968" w14:textId="77777777"/>
        </w:tc>
        <w:tc>
          <w:tcPr>
            <w:tcW w:w="148" w:type="pct"/>
          </w:tcPr>
          <w:p w:rsidR="00A67F6D" w:rsidRDefault="00A67F6D" w14:paraId="1CC52301" w14:textId="77777777"/>
        </w:tc>
        <w:tc>
          <w:tcPr>
            <w:tcW w:w="1134" w:type="pct"/>
          </w:tcPr>
          <w:p w:rsidR="00A67F6D" w:rsidRDefault="00A67F6D" w14:paraId="51DC9988" w14:textId="77777777"/>
        </w:tc>
      </w:tr>
    </w:tbl>
    <w:p w:rsidR="00577DA6" w:rsidRDefault="00577DA6" w14:paraId="2E41FC00" w14:textId="77777777"/>
    <w:p w:rsidR="00577DA6" w:rsidRDefault="00577DA6" w14:paraId="346D5F52" w14:textId="77777777"/>
    <w:p w:rsidR="00CF182B" w:rsidRDefault="00CF182B" w14:paraId="78644131" w14:textId="2790C8E0">
      <w:r>
        <w:t xml:space="preserve"> </w:t>
      </w:r>
    </w:p>
    <w:p w:rsidR="00335562" w:rsidRDefault="00335562" w14:paraId="3CA4A923" w14:textId="77777777">
      <w:pPr>
        <w:rPr>
          <w:rFonts w:asciiTheme="majorHAnsi" w:hAnsiTheme="majorHAnsi" w:eastAsiaTheme="majorEastAsia" w:cstheme="majorBidi"/>
          <w:color w:val="0070C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Pr="003C3B0E" w:rsidR="00BC3C6F" w:rsidP="00482F2B" w:rsidRDefault="00482F2B" w14:paraId="3925EF29" w14:textId="5B7BEFA0">
      <w:pPr>
        <w:pStyle w:val="Overskrift2"/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3B0E"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Miljø</w:t>
      </w:r>
    </w:p>
    <w:p w:rsidRPr="007F5A7E" w:rsidR="00482F2B" w:rsidP="00482F2B" w:rsidRDefault="00482F2B" w14:paraId="7F54C332" w14:textId="77777777">
      <w:pPr>
        <w:rPr>
          <w:b/>
          <w:bCs/>
          <w:i/>
          <w:iCs/>
        </w:rPr>
      </w:pPr>
      <w:r w:rsidRPr="007F5A7E">
        <w:rPr>
          <w:b/>
          <w:bCs/>
          <w:i/>
          <w:iCs/>
        </w:rPr>
        <w:t xml:space="preserve">Forutsetning: Arrangementet skal enten være et miljøgodkjent arrangement eller ha startet en prosess for å bli </w:t>
      </w:r>
      <w:r>
        <w:rPr>
          <w:b/>
          <w:bCs/>
          <w:i/>
          <w:iCs/>
        </w:rPr>
        <w:t>d</w:t>
      </w:r>
      <w:r w:rsidRPr="007F5A7E">
        <w:rPr>
          <w:b/>
          <w:bCs/>
          <w:i/>
          <w:iCs/>
        </w:rPr>
        <w:t>et.</w:t>
      </w:r>
    </w:p>
    <w:p w:rsidRPr="00482F2B" w:rsidR="00482F2B" w:rsidP="00482F2B" w:rsidRDefault="00482F2B" w14:paraId="71D1440E" w14:textId="77777777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20"/>
        <w:gridCol w:w="3502"/>
        <w:gridCol w:w="2642"/>
        <w:gridCol w:w="409"/>
        <w:gridCol w:w="409"/>
        <w:gridCol w:w="411"/>
        <w:gridCol w:w="409"/>
        <w:gridCol w:w="409"/>
        <w:gridCol w:w="414"/>
        <w:gridCol w:w="3171"/>
      </w:tblGrid>
      <w:tr w:rsidR="00482F2B" w:rsidTr="00A67F6D" w14:paraId="13B569CA" w14:textId="77777777">
        <w:tc>
          <w:tcPr>
            <w:tcW w:w="793" w:type="pct"/>
            <w:vMerge w:val="restart"/>
          </w:tcPr>
          <w:p w:rsidR="00482F2B" w:rsidP="00C119DD" w:rsidRDefault="00482F2B" w14:paraId="44CF6D03" w14:textId="77777777">
            <w:r>
              <w:t>Parameter</w:t>
            </w:r>
          </w:p>
        </w:tc>
        <w:tc>
          <w:tcPr>
            <w:tcW w:w="1251" w:type="pct"/>
            <w:vMerge w:val="restart"/>
          </w:tcPr>
          <w:p w:rsidR="00482F2B" w:rsidP="00C119DD" w:rsidRDefault="00482F2B" w14:paraId="6495D777" w14:textId="77777777">
            <w:r>
              <w:t>Hvorfor?</w:t>
            </w:r>
          </w:p>
        </w:tc>
        <w:tc>
          <w:tcPr>
            <w:tcW w:w="944" w:type="pct"/>
            <w:vMerge w:val="restart"/>
          </w:tcPr>
          <w:p w:rsidR="00482F2B" w:rsidP="00C119DD" w:rsidRDefault="00482F2B" w14:paraId="6377E617" w14:textId="77777777">
            <w:r>
              <w:t>Hvordan måle?</w:t>
            </w:r>
          </w:p>
        </w:tc>
        <w:tc>
          <w:tcPr>
            <w:tcW w:w="879" w:type="pct"/>
            <w:gridSpan w:val="6"/>
          </w:tcPr>
          <w:p w:rsidR="00482F2B" w:rsidP="00C119DD" w:rsidRDefault="00482F2B" w14:paraId="09C2F5D9" w14:textId="77777777">
            <w:r>
              <w:t>Status</w:t>
            </w:r>
          </w:p>
        </w:tc>
        <w:tc>
          <w:tcPr>
            <w:tcW w:w="1133" w:type="pct"/>
            <w:vMerge w:val="restart"/>
          </w:tcPr>
          <w:p w:rsidR="00482F2B" w:rsidP="00C119DD" w:rsidRDefault="00482F2B" w14:paraId="175E321E" w14:textId="77777777">
            <w:r>
              <w:t>Videre oppfølging</w:t>
            </w:r>
          </w:p>
        </w:tc>
      </w:tr>
      <w:tr w:rsidR="00482F2B" w:rsidTr="00A67F6D" w14:paraId="38CE9C2E" w14:textId="77777777">
        <w:tc>
          <w:tcPr>
            <w:tcW w:w="793" w:type="pct"/>
            <w:vMerge/>
          </w:tcPr>
          <w:p w:rsidR="00482F2B" w:rsidP="00C119DD" w:rsidRDefault="00482F2B" w14:paraId="31A82966" w14:textId="77777777"/>
        </w:tc>
        <w:tc>
          <w:tcPr>
            <w:tcW w:w="1251" w:type="pct"/>
            <w:vMerge/>
          </w:tcPr>
          <w:p w:rsidR="00482F2B" w:rsidP="00C119DD" w:rsidRDefault="00482F2B" w14:paraId="1B48FEAE" w14:textId="77777777"/>
        </w:tc>
        <w:tc>
          <w:tcPr>
            <w:tcW w:w="944" w:type="pct"/>
            <w:vMerge/>
          </w:tcPr>
          <w:p w:rsidR="00482F2B" w:rsidP="00C119DD" w:rsidRDefault="00482F2B" w14:paraId="5A5F1DC5" w14:textId="77777777"/>
        </w:tc>
        <w:tc>
          <w:tcPr>
            <w:tcW w:w="146" w:type="pct"/>
          </w:tcPr>
          <w:p w:rsidR="00482F2B" w:rsidP="00C119DD" w:rsidRDefault="00482F2B" w14:paraId="0E05F020" w14:textId="77777777">
            <w:r>
              <w:t>1</w:t>
            </w:r>
          </w:p>
        </w:tc>
        <w:tc>
          <w:tcPr>
            <w:tcW w:w="146" w:type="pct"/>
          </w:tcPr>
          <w:p w:rsidR="00482F2B" w:rsidP="00C119DD" w:rsidRDefault="00482F2B" w14:paraId="14D9C223" w14:textId="77777777">
            <w:r>
              <w:t>2</w:t>
            </w:r>
          </w:p>
        </w:tc>
        <w:tc>
          <w:tcPr>
            <w:tcW w:w="147" w:type="pct"/>
          </w:tcPr>
          <w:p w:rsidR="00482F2B" w:rsidP="00C119DD" w:rsidRDefault="00482F2B" w14:paraId="00F96946" w14:textId="77777777">
            <w:r>
              <w:t>3</w:t>
            </w:r>
          </w:p>
        </w:tc>
        <w:tc>
          <w:tcPr>
            <w:tcW w:w="146" w:type="pct"/>
          </w:tcPr>
          <w:p w:rsidR="00482F2B" w:rsidP="00C119DD" w:rsidRDefault="00482F2B" w14:paraId="7B484A83" w14:textId="77777777">
            <w:r>
              <w:t>4</w:t>
            </w:r>
          </w:p>
        </w:tc>
        <w:tc>
          <w:tcPr>
            <w:tcW w:w="146" w:type="pct"/>
          </w:tcPr>
          <w:p w:rsidR="00482F2B" w:rsidP="00C119DD" w:rsidRDefault="00482F2B" w14:paraId="1F5F8A9D" w14:textId="77777777">
            <w:r>
              <w:t>5</w:t>
            </w:r>
          </w:p>
        </w:tc>
        <w:tc>
          <w:tcPr>
            <w:tcW w:w="148" w:type="pct"/>
          </w:tcPr>
          <w:p w:rsidR="00482F2B" w:rsidP="00C119DD" w:rsidRDefault="00482F2B" w14:paraId="2F557431" w14:textId="77777777">
            <w:r>
              <w:t>6</w:t>
            </w:r>
          </w:p>
        </w:tc>
        <w:tc>
          <w:tcPr>
            <w:tcW w:w="1133" w:type="pct"/>
            <w:vMerge/>
          </w:tcPr>
          <w:p w:rsidR="00482F2B" w:rsidP="00C119DD" w:rsidRDefault="00482F2B" w14:paraId="7C573664" w14:textId="77777777"/>
        </w:tc>
      </w:tr>
      <w:tr w:rsidR="00482F2B" w:rsidTr="00A67F6D" w14:paraId="65F496FE" w14:textId="77777777">
        <w:tc>
          <w:tcPr>
            <w:tcW w:w="793" w:type="pct"/>
          </w:tcPr>
          <w:p w:rsidR="00482F2B" w:rsidP="00C119DD" w:rsidRDefault="00482F2B" w14:paraId="694A624E" w14:textId="77777777">
            <w:r>
              <w:t>Avfallshåndtering</w:t>
            </w:r>
          </w:p>
        </w:tc>
        <w:tc>
          <w:tcPr>
            <w:tcW w:w="1251" w:type="pct"/>
          </w:tcPr>
          <w:p w:rsidR="00482F2B" w:rsidP="00C119DD" w:rsidRDefault="00482F2B" w14:paraId="65AA431E" w14:textId="77777777">
            <w:r>
              <w:t>Arrangementet må ha en plan for kildesortering</w:t>
            </w:r>
          </w:p>
        </w:tc>
        <w:tc>
          <w:tcPr>
            <w:tcW w:w="944" w:type="pct"/>
          </w:tcPr>
          <w:p w:rsidR="00482F2B" w:rsidP="00C119DD" w:rsidRDefault="00482F2B" w14:paraId="4FDDCE9B" w14:textId="77777777">
            <w:r>
              <w:t>Grad av kildesortering</w:t>
            </w:r>
          </w:p>
        </w:tc>
        <w:tc>
          <w:tcPr>
            <w:tcW w:w="146" w:type="pct"/>
          </w:tcPr>
          <w:p w:rsidR="00482F2B" w:rsidP="00C119DD" w:rsidRDefault="00482F2B" w14:paraId="0B4C020E" w14:textId="77777777"/>
        </w:tc>
        <w:tc>
          <w:tcPr>
            <w:tcW w:w="146" w:type="pct"/>
          </w:tcPr>
          <w:p w:rsidR="00482F2B" w:rsidP="00C119DD" w:rsidRDefault="00482F2B" w14:paraId="7DF77C38" w14:textId="77777777"/>
        </w:tc>
        <w:tc>
          <w:tcPr>
            <w:tcW w:w="147" w:type="pct"/>
          </w:tcPr>
          <w:p w:rsidR="00482F2B" w:rsidP="00C119DD" w:rsidRDefault="00482F2B" w14:paraId="1A6565D5" w14:textId="77777777"/>
        </w:tc>
        <w:tc>
          <w:tcPr>
            <w:tcW w:w="146" w:type="pct"/>
          </w:tcPr>
          <w:p w:rsidR="00482F2B" w:rsidP="00C119DD" w:rsidRDefault="00482F2B" w14:paraId="3F006F06" w14:textId="77777777"/>
        </w:tc>
        <w:tc>
          <w:tcPr>
            <w:tcW w:w="146" w:type="pct"/>
          </w:tcPr>
          <w:p w:rsidR="00482F2B" w:rsidP="00C119DD" w:rsidRDefault="00482F2B" w14:paraId="0EB0206F" w14:textId="77777777"/>
        </w:tc>
        <w:tc>
          <w:tcPr>
            <w:tcW w:w="148" w:type="pct"/>
          </w:tcPr>
          <w:p w:rsidR="00482F2B" w:rsidP="00C119DD" w:rsidRDefault="00482F2B" w14:paraId="15D90158" w14:textId="77777777"/>
        </w:tc>
        <w:tc>
          <w:tcPr>
            <w:tcW w:w="1133" w:type="pct"/>
          </w:tcPr>
          <w:p w:rsidR="00482F2B" w:rsidP="00C119DD" w:rsidRDefault="00482F2B" w14:paraId="4115373B" w14:textId="77777777"/>
        </w:tc>
      </w:tr>
      <w:tr w:rsidR="00482F2B" w:rsidTr="00A67F6D" w14:paraId="59183B29" w14:textId="77777777">
        <w:tc>
          <w:tcPr>
            <w:tcW w:w="793" w:type="pct"/>
          </w:tcPr>
          <w:p w:rsidR="00482F2B" w:rsidP="00C119DD" w:rsidRDefault="00482F2B" w14:paraId="73516FD4" w14:textId="77777777">
            <w:r>
              <w:t>Matsvinn</w:t>
            </w:r>
          </w:p>
        </w:tc>
        <w:tc>
          <w:tcPr>
            <w:tcW w:w="1251" w:type="pct"/>
          </w:tcPr>
          <w:p w:rsidR="00482F2B" w:rsidP="00C119DD" w:rsidRDefault="00482F2B" w14:paraId="163C04E4" w14:textId="7933D3D3">
            <w:r>
              <w:t>Arrangementet må ha en plan for hvordan matsvinn kan redusere</w:t>
            </w:r>
            <w:r w:rsidR="00383611">
              <w:t>s</w:t>
            </w:r>
            <w:r>
              <w:t xml:space="preserve">, herunder avtale om at noen kan overta mat som arrangementet ikke </w:t>
            </w:r>
            <w:r w:rsidRPr="006D3AF5">
              <w:t>bruker</w:t>
            </w:r>
            <w:r w:rsidRPr="006D3AF5" w:rsidR="004751EF">
              <w:t xml:space="preserve"> og </w:t>
            </w:r>
            <w:r w:rsidRPr="006D3AF5" w:rsidR="004B1DDC">
              <w:t>ev</w:t>
            </w:r>
            <w:r w:rsidRPr="006D3AF5" w:rsidR="003E442B">
              <w:t>entuelle</w:t>
            </w:r>
            <w:r w:rsidRPr="006D3AF5" w:rsidR="004B1DDC">
              <w:t xml:space="preserve"> </w:t>
            </w:r>
            <w:r w:rsidRPr="006D3AF5" w:rsidR="004751EF">
              <w:t>returavtaler</w:t>
            </w:r>
          </w:p>
        </w:tc>
        <w:tc>
          <w:tcPr>
            <w:tcW w:w="944" w:type="pct"/>
          </w:tcPr>
          <w:p w:rsidR="00482F2B" w:rsidP="00C119DD" w:rsidRDefault="00482F2B" w14:paraId="17944F76" w14:textId="77777777">
            <w:r>
              <w:t xml:space="preserve">Kvaliteten på planen. Egenrapportering av matsvinn </w:t>
            </w:r>
          </w:p>
        </w:tc>
        <w:tc>
          <w:tcPr>
            <w:tcW w:w="146" w:type="pct"/>
          </w:tcPr>
          <w:p w:rsidR="00482F2B" w:rsidP="00C119DD" w:rsidRDefault="00482F2B" w14:paraId="2FB910EC" w14:textId="77777777"/>
        </w:tc>
        <w:tc>
          <w:tcPr>
            <w:tcW w:w="146" w:type="pct"/>
          </w:tcPr>
          <w:p w:rsidR="00482F2B" w:rsidP="00C119DD" w:rsidRDefault="00482F2B" w14:paraId="69CB0A45" w14:textId="77777777"/>
        </w:tc>
        <w:tc>
          <w:tcPr>
            <w:tcW w:w="147" w:type="pct"/>
          </w:tcPr>
          <w:p w:rsidR="00482F2B" w:rsidP="00C119DD" w:rsidRDefault="00482F2B" w14:paraId="2D55DF6B" w14:textId="77777777"/>
        </w:tc>
        <w:tc>
          <w:tcPr>
            <w:tcW w:w="146" w:type="pct"/>
          </w:tcPr>
          <w:p w:rsidR="00482F2B" w:rsidP="00C119DD" w:rsidRDefault="00482F2B" w14:paraId="5268EA5B" w14:textId="77777777"/>
        </w:tc>
        <w:tc>
          <w:tcPr>
            <w:tcW w:w="146" w:type="pct"/>
          </w:tcPr>
          <w:p w:rsidR="00482F2B" w:rsidP="00C119DD" w:rsidRDefault="00482F2B" w14:paraId="1DF380C6" w14:textId="77777777"/>
        </w:tc>
        <w:tc>
          <w:tcPr>
            <w:tcW w:w="148" w:type="pct"/>
          </w:tcPr>
          <w:p w:rsidR="00482F2B" w:rsidP="00C119DD" w:rsidRDefault="00482F2B" w14:paraId="219FEBFF" w14:textId="77777777"/>
        </w:tc>
        <w:tc>
          <w:tcPr>
            <w:tcW w:w="1133" w:type="pct"/>
          </w:tcPr>
          <w:p w:rsidR="00482F2B" w:rsidP="00C119DD" w:rsidRDefault="00482F2B" w14:paraId="0F2D54BB" w14:textId="77777777"/>
        </w:tc>
      </w:tr>
      <w:tr w:rsidR="00482F2B" w:rsidTr="00A67F6D" w14:paraId="4FBEE715" w14:textId="77777777">
        <w:tc>
          <w:tcPr>
            <w:tcW w:w="793" w:type="pct"/>
          </w:tcPr>
          <w:p w:rsidR="00482F2B" w:rsidP="00C119DD" w:rsidRDefault="00482F2B" w14:paraId="11A27AB3" w14:textId="77777777">
            <w:r>
              <w:t>Energiforbruk</w:t>
            </w:r>
          </w:p>
        </w:tc>
        <w:tc>
          <w:tcPr>
            <w:tcW w:w="1251" w:type="pct"/>
          </w:tcPr>
          <w:p w:rsidR="00482F2B" w:rsidP="00C119DD" w:rsidRDefault="00482F2B" w14:paraId="2149E099" w14:textId="77777777">
            <w:r>
              <w:t>Arrangementet skal sammen med arenaeier utarbeide en plan for hvordan energiforbruket skal reduseres</w:t>
            </w:r>
          </w:p>
        </w:tc>
        <w:tc>
          <w:tcPr>
            <w:tcW w:w="944" w:type="pct"/>
          </w:tcPr>
          <w:p w:rsidR="00482F2B" w:rsidP="00C119DD" w:rsidRDefault="00482F2B" w14:paraId="2A3A1092" w14:textId="77777777">
            <w:r>
              <w:t>Kvalitet på planen. Egenrapportering i etterkant, dersom det ikke er mulig å få tall fra arenaeier</w:t>
            </w:r>
          </w:p>
        </w:tc>
        <w:tc>
          <w:tcPr>
            <w:tcW w:w="146" w:type="pct"/>
          </w:tcPr>
          <w:p w:rsidR="00482F2B" w:rsidP="00C119DD" w:rsidRDefault="00482F2B" w14:paraId="109A735B" w14:textId="77777777"/>
        </w:tc>
        <w:tc>
          <w:tcPr>
            <w:tcW w:w="146" w:type="pct"/>
          </w:tcPr>
          <w:p w:rsidR="00482F2B" w:rsidP="00C119DD" w:rsidRDefault="00482F2B" w14:paraId="10481406" w14:textId="77777777"/>
        </w:tc>
        <w:tc>
          <w:tcPr>
            <w:tcW w:w="147" w:type="pct"/>
          </w:tcPr>
          <w:p w:rsidR="00482F2B" w:rsidP="00C119DD" w:rsidRDefault="00482F2B" w14:paraId="3834D2DE" w14:textId="77777777"/>
        </w:tc>
        <w:tc>
          <w:tcPr>
            <w:tcW w:w="146" w:type="pct"/>
          </w:tcPr>
          <w:p w:rsidR="00482F2B" w:rsidP="00C119DD" w:rsidRDefault="00482F2B" w14:paraId="5D8A5A53" w14:textId="77777777"/>
        </w:tc>
        <w:tc>
          <w:tcPr>
            <w:tcW w:w="146" w:type="pct"/>
          </w:tcPr>
          <w:p w:rsidR="00482F2B" w:rsidP="00C119DD" w:rsidRDefault="00482F2B" w14:paraId="1FB80D87" w14:textId="77777777"/>
        </w:tc>
        <w:tc>
          <w:tcPr>
            <w:tcW w:w="148" w:type="pct"/>
          </w:tcPr>
          <w:p w:rsidR="00482F2B" w:rsidP="00C119DD" w:rsidRDefault="00482F2B" w14:paraId="72EBB2AE" w14:textId="77777777"/>
        </w:tc>
        <w:tc>
          <w:tcPr>
            <w:tcW w:w="1133" w:type="pct"/>
          </w:tcPr>
          <w:p w:rsidR="00482F2B" w:rsidP="00C119DD" w:rsidRDefault="00482F2B" w14:paraId="5732B7B8" w14:textId="77777777"/>
        </w:tc>
      </w:tr>
      <w:tr w:rsidR="00482F2B" w:rsidTr="00A67F6D" w14:paraId="2D8AD21B" w14:textId="77777777">
        <w:tc>
          <w:tcPr>
            <w:tcW w:w="793" w:type="pct"/>
          </w:tcPr>
          <w:p w:rsidR="00482F2B" w:rsidP="00C119DD" w:rsidRDefault="00482F2B" w14:paraId="69B3F747" w14:textId="77777777">
            <w:r>
              <w:t>Transport</w:t>
            </w:r>
          </w:p>
        </w:tc>
        <w:tc>
          <w:tcPr>
            <w:tcW w:w="1251" w:type="pct"/>
          </w:tcPr>
          <w:p w:rsidR="00482F2B" w:rsidP="00C119DD" w:rsidRDefault="00482F2B" w14:paraId="38225927" w14:textId="77777777">
            <w:r>
              <w:t>Arrangementene skal så langt det er mulig tilby miljøvennlige og kollektive transportløsninger</w:t>
            </w:r>
          </w:p>
        </w:tc>
        <w:tc>
          <w:tcPr>
            <w:tcW w:w="944" w:type="pct"/>
          </w:tcPr>
          <w:p w:rsidR="00482F2B" w:rsidP="00C119DD" w:rsidRDefault="00482F2B" w14:paraId="18C2F866" w14:textId="77777777">
            <w:r>
              <w:t>Kvalitet på planen. Kvantitativ rapportering i etterkant</w:t>
            </w:r>
          </w:p>
        </w:tc>
        <w:tc>
          <w:tcPr>
            <w:tcW w:w="146" w:type="pct"/>
          </w:tcPr>
          <w:p w:rsidR="00482F2B" w:rsidP="00C119DD" w:rsidRDefault="00482F2B" w14:paraId="0AC0229F" w14:textId="77777777"/>
        </w:tc>
        <w:tc>
          <w:tcPr>
            <w:tcW w:w="146" w:type="pct"/>
          </w:tcPr>
          <w:p w:rsidR="00482F2B" w:rsidP="00C119DD" w:rsidRDefault="00482F2B" w14:paraId="07FCDEC5" w14:textId="77777777"/>
        </w:tc>
        <w:tc>
          <w:tcPr>
            <w:tcW w:w="147" w:type="pct"/>
          </w:tcPr>
          <w:p w:rsidR="00482F2B" w:rsidP="00C119DD" w:rsidRDefault="00482F2B" w14:paraId="0AFAD71A" w14:textId="77777777"/>
        </w:tc>
        <w:tc>
          <w:tcPr>
            <w:tcW w:w="146" w:type="pct"/>
          </w:tcPr>
          <w:p w:rsidR="00482F2B" w:rsidP="00C119DD" w:rsidRDefault="00482F2B" w14:paraId="541AC860" w14:textId="77777777"/>
        </w:tc>
        <w:tc>
          <w:tcPr>
            <w:tcW w:w="146" w:type="pct"/>
          </w:tcPr>
          <w:p w:rsidR="00482F2B" w:rsidP="00C119DD" w:rsidRDefault="00482F2B" w14:paraId="2285F31A" w14:textId="77777777"/>
        </w:tc>
        <w:tc>
          <w:tcPr>
            <w:tcW w:w="148" w:type="pct"/>
          </w:tcPr>
          <w:p w:rsidR="00482F2B" w:rsidP="00C119DD" w:rsidRDefault="00482F2B" w14:paraId="07CBF953" w14:textId="77777777"/>
        </w:tc>
        <w:tc>
          <w:tcPr>
            <w:tcW w:w="1133" w:type="pct"/>
          </w:tcPr>
          <w:p w:rsidR="00482F2B" w:rsidP="00C119DD" w:rsidRDefault="00482F2B" w14:paraId="3728A691" w14:textId="77777777"/>
        </w:tc>
      </w:tr>
      <w:tr w:rsidR="00E703B0" w:rsidTr="00A67F6D" w14:paraId="23D80EDB" w14:textId="77777777">
        <w:tc>
          <w:tcPr>
            <w:tcW w:w="793" w:type="pct"/>
          </w:tcPr>
          <w:p w:rsidR="00E703B0" w:rsidP="00C119DD" w:rsidRDefault="00E703B0" w14:paraId="41AB2FF3" w14:textId="77777777">
            <w:r>
              <w:t>Lokalprodusert mat</w:t>
            </w:r>
          </w:p>
        </w:tc>
        <w:tc>
          <w:tcPr>
            <w:tcW w:w="1251" w:type="pct"/>
          </w:tcPr>
          <w:p w:rsidR="00E703B0" w:rsidP="00C119DD" w:rsidRDefault="00E703B0" w14:paraId="5F5B4475" w14:textId="203AD689">
            <w:r>
              <w:t xml:space="preserve">Kortreiste råvarer gir mindre </w:t>
            </w:r>
            <w:r w:rsidR="00B05447">
              <w:t xml:space="preserve">klimapåvirkning, og arrangementene bør </w:t>
            </w:r>
            <w:r w:rsidRPr="00954D23" w:rsidR="007B1393">
              <w:rPr>
                <w:color w:val="000000" w:themeColor="text1"/>
              </w:rPr>
              <w:t xml:space="preserve">der det er mulig </w:t>
            </w:r>
            <w:r w:rsidRPr="00954D23" w:rsidR="00B05447">
              <w:rPr>
                <w:color w:val="000000" w:themeColor="text1"/>
              </w:rPr>
              <w:t xml:space="preserve">ha et tilbud om </w:t>
            </w:r>
            <w:r w:rsidR="00B05447">
              <w:t>lokalprodusert mat på menyen</w:t>
            </w:r>
          </w:p>
        </w:tc>
        <w:tc>
          <w:tcPr>
            <w:tcW w:w="944" w:type="pct"/>
          </w:tcPr>
          <w:p w:rsidR="00E703B0" w:rsidP="00C119DD" w:rsidRDefault="00B05447" w14:paraId="4B5E2BC6" w14:textId="77777777">
            <w:r>
              <w:t>Menyen og salget</w:t>
            </w:r>
          </w:p>
        </w:tc>
        <w:tc>
          <w:tcPr>
            <w:tcW w:w="146" w:type="pct"/>
          </w:tcPr>
          <w:p w:rsidR="00E703B0" w:rsidP="00C119DD" w:rsidRDefault="00E703B0" w14:paraId="76C21AA6" w14:textId="77777777"/>
        </w:tc>
        <w:tc>
          <w:tcPr>
            <w:tcW w:w="146" w:type="pct"/>
          </w:tcPr>
          <w:p w:rsidR="00E703B0" w:rsidP="00C119DD" w:rsidRDefault="00E703B0" w14:paraId="0F855CB3" w14:textId="77777777"/>
        </w:tc>
        <w:tc>
          <w:tcPr>
            <w:tcW w:w="147" w:type="pct"/>
          </w:tcPr>
          <w:p w:rsidR="00E703B0" w:rsidP="00C119DD" w:rsidRDefault="00E703B0" w14:paraId="0A420563" w14:textId="77777777"/>
        </w:tc>
        <w:tc>
          <w:tcPr>
            <w:tcW w:w="146" w:type="pct"/>
          </w:tcPr>
          <w:p w:rsidR="00E703B0" w:rsidP="00C119DD" w:rsidRDefault="00E703B0" w14:paraId="21D56FF2" w14:textId="77777777"/>
        </w:tc>
        <w:tc>
          <w:tcPr>
            <w:tcW w:w="146" w:type="pct"/>
          </w:tcPr>
          <w:p w:rsidR="00E703B0" w:rsidP="00C119DD" w:rsidRDefault="00E703B0" w14:paraId="14346D9C" w14:textId="77777777"/>
        </w:tc>
        <w:tc>
          <w:tcPr>
            <w:tcW w:w="148" w:type="pct"/>
          </w:tcPr>
          <w:p w:rsidR="00E703B0" w:rsidP="00C119DD" w:rsidRDefault="00E703B0" w14:paraId="3A5DB338" w14:textId="77777777"/>
        </w:tc>
        <w:tc>
          <w:tcPr>
            <w:tcW w:w="1133" w:type="pct"/>
          </w:tcPr>
          <w:p w:rsidR="00E703B0" w:rsidP="00C119DD" w:rsidRDefault="00E703B0" w14:paraId="37B13201" w14:textId="77777777"/>
        </w:tc>
      </w:tr>
      <w:tr w:rsidR="00A67F6D" w:rsidTr="00A67F6D" w14:paraId="61E2871C" w14:textId="77777777">
        <w:tc>
          <w:tcPr>
            <w:tcW w:w="793" w:type="pct"/>
          </w:tcPr>
          <w:p w:rsidR="00A67F6D" w:rsidP="00C119DD" w:rsidRDefault="00A67F6D" w14:paraId="32BEADC4" w14:textId="77777777">
            <w:r>
              <w:t>Øvrige innkjøp</w:t>
            </w:r>
          </w:p>
        </w:tc>
        <w:tc>
          <w:tcPr>
            <w:tcW w:w="1251" w:type="pct"/>
          </w:tcPr>
          <w:p w:rsidR="00A67F6D" w:rsidP="00C119DD" w:rsidRDefault="00A67F6D" w14:paraId="581D199C" w14:textId="092F6DFB">
            <w:r>
              <w:t xml:space="preserve">Arrangementet skal ha et bevisst forhold til å gjøre bærekraftige innkjøp. Prioriter samarbeid med miljøsertifiserte virksomheter og </w:t>
            </w:r>
            <w:r>
              <w:lastRenderedPageBreak/>
              <w:t>innkjøp av miljømerke</w:t>
            </w:r>
            <w:r w:rsidR="00954D23">
              <w:t>d</w:t>
            </w:r>
            <w:r>
              <w:t>e, fairtrade og/eller økologiske produkter i den grad det er økonomisk forsvarlig.</w:t>
            </w:r>
          </w:p>
        </w:tc>
        <w:tc>
          <w:tcPr>
            <w:tcW w:w="944" w:type="pct"/>
          </w:tcPr>
          <w:p w:rsidR="00A67F6D" w:rsidP="00C119DD" w:rsidRDefault="00A67F6D" w14:paraId="6F6C549A" w14:textId="77777777">
            <w:r>
              <w:lastRenderedPageBreak/>
              <w:t>Kvalitet på planen. Kvantitativ rapportering i etterkant</w:t>
            </w:r>
          </w:p>
        </w:tc>
        <w:tc>
          <w:tcPr>
            <w:tcW w:w="146" w:type="pct"/>
          </w:tcPr>
          <w:p w:rsidR="00A67F6D" w:rsidP="00C119DD" w:rsidRDefault="00A67F6D" w14:paraId="29F69D78" w14:textId="77777777"/>
        </w:tc>
        <w:tc>
          <w:tcPr>
            <w:tcW w:w="146" w:type="pct"/>
          </w:tcPr>
          <w:p w:rsidR="00A67F6D" w:rsidP="00C119DD" w:rsidRDefault="00A67F6D" w14:paraId="7503D271" w14:textId="77777777"/>
        </w:tc>
        <w:tc>
          <w:tcPr>
            <w:tcW w:w="147" w:type="pct"/>
          </w:tcPr>
          <w:p w:rsidR="00A67F6D" w:rsidP="00C119DD" w:rsidRDefault="00A67F6D" w14:paraId="2EAD2EB1" w14:textId="77777777"/>
        </w:tc>
        <w:tc>
          <w:tcPr>
            <w:tcW w:w="146" w:type="pct"/>
          </w:tcPr>
          <w:p w:rsidR="00A67F6D" w:rsidP="00C119DD" w:rsidRDefault="00A67F6D" w14:paraId="44E4F6AC" w14:textId="77777777"/>
        </w:tc>
        <w:tc>
          <w:tcPr>
            <w:tcW w:w="146" w:type="pct"/>
          </w:tcPr>
          <w:p w:rsidR="00A67F6D" w:rsidP="00C119DD" w:rsidRDefault="00A67F6D" w14:paraId="1ED7EB12" w14:textId="77777777"/>
        </w:tc>
        <w:tc>
          <w:tcPr>
            <w:tcW w:w="148" w:type="pct"/>
          </w:tcPr>
          <w:p w:rsidR="00A67F6D" w:rsidP="00C119DD" w:rsidRDefault="00A67F6D" w14:paraId="5C61C90F" w14:textId="77777777"/>
        </w:tc>
        <w:tc>
          <w:tcPr>
            <w:tcW w:w="1133" w:type="pct"/>
          </w:tcPr>
          <w:p w:rsidR="00A67F6D" w:rsidP="00C119DD" w:rsidRDefault="00A67F6D" w14:paraId="2E6B3525" w14:textId="77777777"/>
        </w:tc>
      </w:tr>
      <w:tr w:rsidR="006F107F" w:rsidTr="00A67F6D" w14:paraId="1C15DB13" w14:textId="77777777">
        <w:tc>
          <w:tcPr>
            <w:tcW w:w="793" w:type="pct"/>
          </w:tcPr>
          <w:p w:rsidRPr="006D3AF5" w:rsidR="006F107F" w:rsidP="00C119DD" w:rsidRDefault="007A11E0" w14:paraId="4CA0BCC6" w14:textId="61BBA620">
            <w:r w:rsidRPr="006D3AF5">
              <w:t>Arealer/arena</w:t>
            </w:r>
          </w:p>
        </w:tc>
        <w:tc>
          <w:tcPr>
            <w:tcW w:w="1251" w:type="pct"/>
          </w:tcPr>
          <w:p w:rsidRPr="006D3AF5" w:rsidR="00137269" w:rsidP="00137269" w:rsidRDefault="00F5027E" w14:paraId="24468FAF" w14:textId="6D83DF67">
            <w:r w:rsidRPr="006D3AF5">
              <w:t>Arrangementet skal ta hensyn til naturen i området som er i bruk</w:t>
            </w:r>
            <w:r w:rsidRPr="006D3AF5" w:rsidR="003E442B">
              <w:t xml:space="preserve"> og</w:t>
            </w:r>
            <w:r w:rsidRPr="006D3AF5" w:rsidR="004474A6">
              <w:t xml:space="preserve"> skåne </w:t>
            </w:r>
            <w:r w:rsidRPr="006D3AF5" w:rsidR="00BC50F4">
              <w:t>omkringl</w:t>
            </w:r>
            <w:r w:rsidRPr="006D3AF5" w:rsidR="003349AC">
              <w:t>i</w:t>
            </w:r>
            <w:r w:rsidRPr="006D3AF5" w:rsidR="00BC50F4">
              <w:t>ggende</w:t>
            </w:r>
            <w:r w:rsidRPr="006D3AF5" w:rsidR="003349AC">
              <w:t xml:space="preserve"> </w:t>
            </w:r>
            <w:r w:rsidRPr="006D3AF5" w:rsidR="00BC50F4">
              <w:t>område.</w:t>
            </w:r>
            <w:r w:rsidRPr="006D3AF5">
              <w:t xml:space="preserve"> </w:t>
            </w:r>
          </w:p>
          <w:p w:rsidRPr="006D3AF5" w:rsidR="006F107F" w:rsidP="00F5027E" w:rsidRDefault="00BB6CCA" w14:paraId="4D76D85D" w14:textId="1BC81AAD">
            <w:r w:rsidRPr="006D3AF5">
              <w:t xml:space="preserve">Lokaler </w:t>
            </w:r>
            <w:r w:rsidRPr="006D3AF5" w:rsidR="00CC3D5C">
              <w:t>bør</w:t>
            </w:r>
            <w:r w:rsidRPr="006D3AF5" w:rsidR="00437AB0">
              <w:t xml:space="preserve"> være </w:t>
            </w:r>
            <w:r w:rsidRPr="006D3AF5" w:rsidR="00CC3D5C">
              <w:t>miljøvennlige</w:t>
            </w:r>
          </w:p>
        </w:tc>
        <w:tc>
          <w:tcPr>
            <w:tcW w:w="944" w:type="pct"/>
          </w:tcPr>
          <w:p w:rsidRPr="00CC3D5C" w:rsidR="006F107F" w:rsidP="00C119DD" w:rsidRDefault="006C3E60" w14:paraId="635738DB" w14:textId="127CFE54">
            <w:pPr>
              <w:rPr>
                <w:color w:val="FF0000"/>
              </w:rPr>
            </w:pPr>
            <w:r w:rsidRPr="006D3AF5">
              <w:t>Gjennomga</w:t>
            </w:r>
            <w:r w:rsidRPr="006D3AF5" w:rsidR="00137269">
              <w:t xml:space="preserve">ng </w:t>
            </w:r>
            <w:r w:rsidRPr="006D3AF5" w:rsidR="004D6EE1">
              <w:t xml:space="preserve">og avtale </w:t>
            </w:r>
            <w:r w:rsidRPr="006D3AF5" w:rsidR="00137269">
              <w:t>med arenaeier</w:t>
            </w:r>
          </w:p>
        </w:tc>
        <w:tc>
          <w:tcPr>
            <w:tcW w:w="146" w:type="pct"/>
          </w:tcPr>
          <w:p w:rsidR="006F107F" w:rsidP="00C119DD" w:rsidRDefault="006F107F" w14:paraId="242D17EE" w14:textId="77777777"/>
        </w:tc>
        <w:tc>
          <w:tcPr>
            <w:tcW w:w="146" w:type="pct"/>
          </w:tcPr>
          <w:p w:rsidR="006F107F" w:rsidP="00C119DD" w:rsidRDefault="006F107F" w14:paraId="70FBCE4A" w14:textId="77777777"/>
        </w:tc>
        <w:tc>
          <w:tcPr>
            <w:tcW w:w="147" w:type="pct"/>
          </w:tcPr>
          <w:p w:rsidR="006F107F" w:rsidP="00C119DD" w:rsidRDefault="006F107F" w14:paraId="0725DC01" w14:textId="77777777"/>
        </w:tc>
        <w:tc>
          <w:tcPr>
            <w:tcW w:w="146" w:type="pct"/>
          </w:tcPr>
          <w:p w:rsidR="006F107F" w:rsidP="00C119DD" w:rsidRDefault="006F107F" w14:paraId="5275D439" w14:textId="77777777"/>
        </w:tc>
        <w:tc>
          <w:tcPr>
            <w:tcW w:w="146" w:type="pct"/>
          </w:tcPr>
          <w:p w:rsidR="006F107F" w:rsidP="00C119DD" w:rsidRDefault="006F107F" w14:paraId="0D5B81F3" w14:textId="77777777"/>
        </w:tc>
        <w:tc>
          <w:tcPr>
            <w:tcW w:w="148" w:type="pct"/>
          </w:tcPr>
          <w:p w:rsidR="006F107F" w:rsidP="00C119DD" w:rsidRDefault="006F107F" w14:paraId="0A9508B1" w14:textId="77777777"/>
        </w:tc>
        <w:tc>
          <w:tcPr>
            <w:tcW w:w="1133" w:type="pct"/>
          </w:tcPr>
          <w:p w:rsidR="006F107F" w:rsidP="00C119DD" w:rsidRDefault="006F107F" w14:paraId="127B37BC" w14:textId="77777777"/>
        </w:tc>
      </w:tr>
    </w:tbl>
    <w:p w:rsidR="00482F2B" w:rsidP="00482F2B" w:rsidRDefault="00482F2B" w14:paraId="4A661FA1" w14:textId="77777777"/>
    <w:p w:rsidR="002A244A" w:rsidRDefault="002A244A" w14:paraId="4AD830E4" w14:textId="77777777"/>
    <w:p w:rsidR="0091332E" w:rsidRDefault="0091332E" w14:paraId="62D866A7" w14:textId="77777777">
      <w:pPr>
        <w:rPr>
          <w:b/>
        </w:rPr>
      </w:pPr>
    </w:p>
    <w:p w:rsidRPr="003C3B0E" w:rsidR="002A244A" w:rsidP="00856FD0" w:rsidRDefault="002A244A" w14:paraId="22E70DFB" w14:textId="5A5AB149">
      <w:pPr>
        <w:rPr>
          <w:color w:val="0070C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3B0E">
        <w:rPr>
          <w:color w:val="0070C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Sosialt</w:t>
      </w:r>
    </w:p>
    <w:p w:rsidR="00B05447" w:rsidRDefault="00B05447" w14:paraId="15100C96" w14:textId="77777777">
      <w:pPr>
        <w:rPr>
          <w:b/>
        </w:rPr>
      </w:pPr>
    </w:p>
    <w:p w:rsidRPr="00244624" w:rsidR="00B05447" w:rsidP="00B05447" w:rsidRDefault="00B05447" w14:paraId="23BF8506" w14:textId="77777777">
      <w:pPr>
        <w:rPr>
          <w:b/>
          <w:i/>
        </w:rPr>
      </w:pPr>
      <w:r w:rsidRPr="00244624">
        <w:rPr>
          <w:b/>
          <w:i/>
        </w:rPr>
        <w:t>Forutsetning: Arrangementet skal ha en god og gjennomtenkt struktur</w:t>
      </w:r>
      <w:r>
        <w:rPr>
          <w:b/>
          <w:i/>
        </w:rPr>
        <w:t xml:space="preserve"> for sosial bærekraft</w:t>
      </w:r>
      <w:r w:rsidRPr="00244624">
        <w:rPr>
          <w:b/>
          <w:i/>
        </w:rPr>
        <w:t>, og være tilrettelagt for alle samfunnslag.</w:t>
      </w:r>
    </w:p>
    <w:p w:rsidR="00B05447" w:rsidRDefault="00B05447" w14:paraId="055F094E" w14:textId="77777777">
      <w:pPr>
        <w:rPr>
          <w:b/>
        </w:rPr>
      </w:pPr>
    </w:p>
    <w:p w:rsidR="00B05447" w:rsidRDefault="00B05447" w14:paraId="29F4ABCF" w14:textId="77777777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220"/>
        <w:gridCol w:w="3502"/>
        <w:gridCol w:w="2642"/>
        <w:gridCol w:w="409"/>
        <w:gridCol w:w="409"/>
        <w:gridCol w:w="411"/>
        <w:gridCol w:w="409"/>
        <w:gridCol w:w="409"/>
        <w:gridCol w:w="414"/>
        <w:gridCol w:w="3171"/>
      </w:tblGrid>
      <w:tr w:rsidR="00B05447" w:rsidTr="5B3834DE" w14:paraId="3D2E8ABD" w14:textId="77777777">
        <w:tc>
          <w:tcPr>
            <w:tcW w:w="793" w:type="pct"/>
            <w:vMerge w:val="restart"/>
            <w:tcMar/>
          </w:tcPr>
          <w:p w:rsidR="00B05447" w:rsidP="00C119DD" w:rsidRDefault="00B05447" w14:paraId="2A700010" w14:textId="77777777">
            <w:r>
              <w:t>Parameter</w:t>
            </w:r>
          </w:p>
        </w:tc>
        <w:tc>
          <w:tcPr>
            <w:tcW w:w="1251" w:type="pct"/>
            <w:vMerge w:val="restart"/>
            <w:tcMar/>
          </w:tcPr>
          <w:p w:rsidR="00B05447" w:rsidP="00C119DD" w:rsidRDefault="00B05447" w14:paraId="25BF33D1" w14:textId="77777777">
            <w:r>
              <w:t>Hvorfor?</w:t>
            </w:r>
          </w:p>
        </w:tc>
        <w:tc>
          <w:tcPr>
            <w:tcW w:w="944" w:type="pct"/>
            <w:vMerge w:val="restart"/>
            <w:tcMar/>
          </w:tcPr>
          <w:p w:rsidR="00B05447" w:rsidP="00C119DD" w:rsidRDefault="00B05447" w14:paraId="33338FC6" w14:textId="77777777">
            <w:r>
              <w:t>Hvordan måle?</w:t>
            </w:r>
          </w:p>
        </w:tc>
        <w:tc>
          <w:tcPr>
            <w:tcW w:w="879" w:type="pct"/>
            <w:gridSpan w:val="6"/>
            <w:tcMar/>
          </w:tcPr>
          <w:p w:rsidR="00B05447" w:rsidP="00C119DD" w:rsidRDefault="00B05447" w14:paraId="5C1F7745" w14:textId="77777777">
            <w:r>
              <w:t>Status</w:t>
            </w:r>
          </w:p>
        </w:tc>
        <w:tc>
          <w:tcPr>
            <w:tcW w:w="1133" w:type="pct"/>
            <w:vMerge w:val="restart"/>
            <w:tcMar/>
          </w:tcPr>
          <w:p w:rsidR="00B05447" w:rsidP="00C119DD" w:rsidRDefault="00B05447" w14:paraId="3E2F71D3" w14:textId="77777777">
            <w:r>
              <w:t>Videre oppfølging</w:t>
            </w:r>
          </w:p>
        </w:tc>
      </w:tr>
      <w:tr w:rsidR="00B05447" w:rsidTr="5B3834DE" w14:paraId="6315AEB1" w14:textId="77777777">
        <w:tc>
          <w:tcPr>
            <w:tcW w:w="793" w:type="pct"/>
            <w:vMerge/>
            <w:tcMar/>
          </w:tcPr>
          <w:p w:rsidR="00B05447" w:rsidP="00C119DD" w:rsidRDefault="00B05447" w14:paraId="3D8D3B65" w14:textId="77777777"/>
        </w:tc>
        <w:tc>
          <w:tcPr>
            <w:tcW w:w="1251" w:type="pct"/>
            <w:vMerge/>
            <w:tcMar/>
          </w:tcPr>
          <w:p w:rsidR="00B05447" w:rsidP="00C119DD" w:rsidRDefault="00B05447" w14:paraId="6E2C5726" w14:textId="77777777"/>
        </w:tc>
        <w:tc>
          <w:tcPr>
            <w:tcW w:w="944" w:type="pct"/>
            <w:vMerge/>
            <w:tcMar/>
          </w:tcPr>
          <w:p w:rsidR="00B05447" w:rsidP="00C119DD" w:rsidRDefault="00B05447" w14:paraId="36183541" w14:textId="77777777"/>
        </w:tc>
        <w:tc>
          <w:tcPr>
            <w:tcW w:w="146" w:type="pct"/>
            <w:tcMar/>
          </w:tcPr>
          <w:p w:rsidR="00B05447" w:rsidP="00C119DD" w:rsidRDefault="00B05447" w14:paraId="59BFE08B" w14:textId="77777777">
            <w:r>
              <w:t>1</w:t>
            </w:r>
          </w:p>
        </w:tc>
        <w:tc>
          <w:tcPr>
            <w:tcW w:w="146" w:type="pct"/>
            <w:tcMar/>
          </w:tcPr>
          <w:p w:rsidR="00B05447" w:rsidP="00C119DD" w:rsidRDefault="00B05447" w14:paraId="31161DD9" w14:textId="77777777">
            <w:r>
              <w:t>2</w:t>
            </w:r>
          </w:p>
        </w:tc>
        <w:tc>
          <w:tcPr>
            <w:tcW w:w="147" w:type="pct"/>
            <w:tcMar/>
          </w:tcPr>
          <w:p w:rsidR="00B05447" w:rsidP="00C119DD" w:rsidRDefault="00B05447" w14:paraId="3883D025" w14:textId="77777777">
            <w:r>
              <w:t>3</w:t>
            </w:r>
          </w:p>
        </w:tc>
        <w:tc>
          <w:tcPr>
            <w:tcW w:w="146" w:type="pct"/>
            <w:tcMar/>
          </w:tcPr>
          <w:p w:rsidR="00B05447" w:rsidP="00C119DD" w:rsidRDefault="00B05447" w14:paraId="33D4EBC4" w14:textId="77777777">
            <w:r>
              <w:t>4</w:t>
            </w:r>
          </w:p>
        </w:tc>
        <w:tc>
          <w:tcPr>
            <w:tcW w:w="146" w:type="pct"/>
            <w:tcMar/>
          </w:tcPr>
          <w:p w:rsidR="00B05447" w:rsidP="00C119DD" w:rsidRDefault="00B05447" w14:paraId="0A658D42" w14:textId="77777777">
            <w:r>
              <w:t>5</w:t>
            </w:r>
          </w:p>
        </w:tc>
        <w:tc>
          <w:tcPr>
            <w:tcW w:w="148" w:type="pct"/>
            <w:tcMar/>
          </w:tcPr>
          <w:p w:rsidR="00B05447" w:rsidP="00C119DD" w:rsidRDefault="00B05447" w14:paraId="74E8C24A" w14:textId="77777777">
            <w:r>
              <w:t>6</w:t>
            </w:r>
          </w:p>
        </w:tc>
        <w:tc>
          <w:tcPr>
            <w:tcW w:w="1133" w:type="pct"/>
            <w:vMerge/>
            <w:tcMar/>
          </w:tcPr>
          <w:p w:rsidR="00B05447" w:rsidP="00C119DD" w:rsidRDefault="00B05447" w14:paraId="20727C42" w14:textId="77777777"/>
        </w:tc>
      </w:tr>
      <w:tr w:rsidR="00B05447" w:rsidTr="5B3834DE" w14:paraId="77C125EB" w14:textId="77777777">
        <w:tc>
          <w:tcPr>
            <w:tcW w:w="793" w:type="pct"/>
            <w:tcMar/>
          </w:tcPr>
          <w:p w:rsidR="00B05447" w:rsidP="00C119DD" w:rsidRDefault="00B05447" w14:paraId="51DB976A" w14:textId="77777777">
            <w:r>
              <w:t>Universell utforming</w:t>
            </w:r>
          </w:p>
        </w:tc>
        <w:tc>
          <w:tcPr>
            <w:tcW w:w="1251" w:type="pct"/>
            <w:tcMar/>
          </w:tcPr>
          <w:p w:rsidR="00B05447" w:rsidP="00C119DD" w:rsidRDefault="00B05447" w14:paraId="704C928C" w14:textId="77777777">
            <w:r>
              <w:t>Arrangementet skal sammen med arenaeier sikre at universell utforming er ivaretatt og dokumentere dette i en plan</w:t>
            </w:r>
          </w:p>
        </w:tc>
        <w:tc>
          <w:tcPr>
            <w:tcW w:w="944" w:type="pct"/>
            <w:tcMar/>
          </w:tcPr>
          <w:p w:rsidR="00B05447" w:rsidP="00C119DD" w:rsidRDefault="00B05447" w14:paraId="449F0B48" w14:textId="77777777">
            <w:r>
              <w:t>Ved at universell utforming faktisk er ivaretatt og dokumentert</w:t>
            </w:r>
          </w:p>
        </w:tc>
        <w:tc>
          <w:tcPr>
            <w:tcW w:w="146" w:type="pct"/>
            <w:tcMar/>
          </w:tcPr>
          <w:p w:rsidR="00B05447" w:rsidP="00C119DD" w:rsidRDefault="00B05447" w14:paraId="24809DE7" w14:textId="77777777"/>
        </w:tc>
        <w:tc>
          <w:tcPr>
            <w:tcW w:w="146" w:type="pct"/>
            <w:tcMar/>
          </w:tcPr>
          <w:p w:rsidR="00B05447" w:rsidP="00C119DD" w:rsidRDefault="00B05447" w14:paraId="75366B1A" w14:textId="77777777"/>
        </w:tc>
        <w:tc>
          <w:tcPr>
            <w:tcW w:w="147" w:type="pct"/>
            <w:tcMar/>
          </w:tcPr>
          <w:p w:rsidR="00B05447" w:rsidP="00C119DD" w:rsidRDefault="00B05447" w14:paraId="43B7A986" w14:textId="77777777"/>
        </w:tc>
        <w:tc>
          <w:tcPr>
            <w:tcW w:w="146" w:type="pct"/>
            <w:tcMar/>
          </w:tcPr>
          <w:p w:rsidR="00B05447" w:rsidP="00C119DD" w:rsidRDefault="00B05447" w14:paraId="77EF54DD" w14:textId="77777777"/>
        </w:tc>
        <w:tc>
          <w:tcPr>
            <w:tcW w:w="146" w:type="pct"/>
            <w:tcMar/>
          </w:tcPr>
          <w:p w:rsidR="00B05447" w:rsidP="00C119DD" w:rsidRDefault="00B05447" w14:paraId="3397A4A9" w14:textId="77777777"/>
        </w:tc>
        <w:tc>
          <w:tcPr>
            <w:tcW w:w="148" w:type="pct"/>
            <w:tcMar/>
          </w:tcPr>
          <w:p w:rsidR="00B05447" w:rsidP="00C119DD" w:rsidRDefault="00B05447" w14:paraId="5B94C355" w14:textId="77777777"/>
        </w:tc>
        <w:tc>
          <w:tcPr>
            <w:tcW w:w="1133" w:type="pct"/>
            <w:tcMar/>
          </w:tcPr>
          <w:p w:rsidR="00B05447" w:rsidP="00C119DD" w:rsidRDefault="00B05447" w14:paraId="751668D8" w14:textId="77777777"/>
        </w:tc>
      </w:tr>
      <w:tr w:rsidR="00B05447" w:rsidTr="5B3834DE" w14:paraId="161F506A" w14:textId="77777777">
        <w:tc>
          <w:tcPr>
            <w:tcW w:w="793" w:type="pct"/>
            <w:tcMar/>
          </w:tcPr>
          <w:p w:rsidR="00B05447" w:rsidP="00C119DD" w:rsidRDefault="00B05447" w14:paraId="47D8A786" w14:textId="77777777">
            <w:r>
              <w:t>Frivillige</w:t>
            </w:r>
          </w:p>
        </w:tc>
        <w:tc>
          <w:tcPr>
            <w:tcW w:w="1251" w:type="pct"/>
            <w:tcMar/>
          </w:tcPr>
          <w:p w:rsidR="00B05447" w:rsidP="00C119DD" w:rsidRDefault="00B05447" w14:paraId="5D9FA2F5" w14:textId="4193432E">
            <w:r>
              <w:t xml:space="preserve">De frivillige skal ivaretas på en god måte, og håndtering av de </w:t>
            </w:r>
            <w:r w:rsidRPr="006D3AF5">
              <w:t>frivillige skal dokumenteres i en plan</w:t>
            </w:r>
            <w:r w:rsidRPr="006D3AF5" w:rsidR="001354E3">
              <w:t xml:space="preserve"> inkl</w:t>
            </w:r>
            <w:r w:rsidRPr="006D3AF5" w:rsidR="00505A87">
              <w:t>udert</w:t>
            </w:r>
            <w:r w:rsidRPr="006D3AF5" w:rsidR="001354E3">
              <w:t xml:space="preserve"> effektiv kommunikasjon</w:t>
            </w:r>
            <w:r w:rsidRPr="006D3AF5" w:rsidR="003225EC">
              <w:t>.</w:t>
            </w:r>
            <w:r w:rsidRPr="006D3AF5" w:rsidR="001354E3">
              <w:t xml:space="preserve"> </w:t>
            </w:r>
            <w:r w:rsidRPr="006D3AF5">
              <w:t xml:space="preserve">Ved </w:t>
            </w:r>
            <w:r>
              <w:t xml:space="preserve">mer enn 50 frivillige skal arrangementet ha </w:t>
            </w:r>
            <w:r>
              <w:lastRenderedPageBreak/>
              <w:t>en person som har frivillige som ansvarsområde</w:t>
            </w:r>
          </w:p>
        </w:tc>
        <w:tc>
          <w:tcPr>
            <w:tcW w:w="944" w:type="pct"/>
            <w:tcMar/>
          </w:tcPr>
          <w:p w:rsidR="00B05447" w:rsidP="00C119DD" w:rsidRDefault="00B05447" w14:paraId="26E141B4" w14:textId="77777777">
            <w:r>
              <w:lastRenderedPageBreak/>
              <w:t>Kvalitet på planen. Undersøkelse blant de frivillige</w:t>
            </w:r>
          </w:p>
          <w:p w:rsidR="00502883" w:rsidP="00C119DD" w:rsidRDefault="00502883" w14:paraId="503B84B1" w14:textId="788DD010"/>
        </w:tc>
        <w:tc>
          <w:tcPr>
            <w:tcW w:w="146" w:type="pct"/>
            <w:tcMar/>
          </w:tcPr>
          <w:p w:rsidR="00B05447" w:rsidP="00C119DD" w:rsidRDefault="00B05447" w14:paraId="165E6587" w14:textId="77777777"/>
        </w:tc>
        <w:tc>
          <w:tcPr>
            <w:tcW w:w="146" w:type="pct"/>
            <w:tcMar/>
          </w:tcPr>
          <w:p w:rsidR="00B05447" w:rsidP="00C119DD" w:rsidRDefault="00B05447" w14:paraId="3E699CBF" w14:textId="77777777"/>
        </w:tc>
        <w:tc>
          <w:tcPr>
            <w:tcW w:w="147" w:type="pct"/>
            <w:tcMar/>
          </w:tcPr>
          <w:p w:rsidR="00B05447" w:rsidP="00C119DD" w:rsidRDefault="00B05447" w14:paraId="74AF27C5" w14:textId="77777777"/>
        </w:tc>
        <w:tc>
          <w:tcPr>
            <w:tcW w:w="146" w:type="pct"/>
            <w:tcMar/>
          </w:tcPr>
          <w:p w:rsidR="00B05447" w:rsidP="00C119DD" w:rsidRDefault="00B05447" w14:paraId="7E95AF57" w14:textId="77777777"/>
        </w:tc>
        <w:tc>
          <w:tcPr>
            <w:tcW w:w="146" w:type="pct"/>
            <w:tcMar/>
          </w:tcPr>
          <w:p w:rsidR="00B05447" w:rsidP="00C119DD" w:rsidRDefault="00B05447" w14:paraId="4F74A9B2" w14:textId="77777777"/>
        </w:tc>
        <w:tc>
          <w:tcPr>
            <w:tcW w:w="148" w:type="pct"/>
            <w:tcMar/>
          </w:tcPr>
          <w:p w:rsidR="00B05447" w:rsidP="00C119DD" w:rsidRDefault="00B05447" w14:paraId="499EECB4" w14:textId="77777777"/>
        </w:tc>
        <w:tc>
          <w:tcPr>
            <w:tcW w:w="1133" w:type="pct"/>
            <w:tcMar/>
          </w:tcPr>
          <w:p w:rsidR="00B05447" w:rsidP="00C119DD" w:rsidRDefault="00B05447" w14:paraId="70EB8377" w14:textId="77777777"/>
        </w:tc>
      </w:tr>
      <w:tr w:rsidR="00B05447" w:rsidTr="5B3834DE" w14:paraId="7D9C1504" w14:textId="77777777">
        <w:tc>
          <w:tcPr>
            <w:tcW w:w="793" w:type="pct"/>
            <w:tcMar/>
          </w:tcPr>
          <w:p w:rsidR="00B05447" w:rsidP="00C119DD" w:rsidRDefault="00053543" w14:paraId="4A5CA070" w14:textId="77777777">
            <w:r>
              <w:t>Inkludering</w:t>
            </w:r>
          </w:p>
        </w:tc>
        <w:tc>
          <w:tcPr>
            <w:tcW w:w="1251" w:type="pct"/>
            <w:tcMar/>
          </w:tcPr>
          <w:p w:rsidR="00B05447" w:rsidP="00C119DD" w:rsidRDefault="00053543" w14:paraId="5E83CFCA" w14:textId="77777777">
            <w:r>
              <w:t>Arrangement er en god måte å inkludere brede lag av befolkningen i samfunnet, også dem som av ulike grunner har falt litt utenom. Arrangementet bør ha en plan for inkludering</w:t>
            </w:r>
          </w:p>
        </w:tc>
        <w:tc>
          <w:tcPr>
            <w:tcW w:w="944" w:type="pct"/>
            <w:tcMar/>
          </w:tcPr>
          <w:p w:rsidR="00B05447" w:rsidP="00C119DD" w:rsidRDefault="00B05447" w14:paraId="01C74FD4" w14:textId="77777777">
            <w:r>
              <w:t>Kvalitet på planen. Egenrapportering i etterkant</w:t>
            </w:r>
            <w:r w:rsidR="00053543">
              <w:t>.</w:t>
            </w:r>
          </w:p>
        </w:tc>
        <w:tc>
          <w:tcPr>
            <w:tcW w:w="146" w:type="pct"/>
            <w:tcMar/>
          </w:tcPr>
          <w:p w:rsidR="00B05447" w:rsidP="00C119DD" w:rsidRDefault="00B05447" w14:paraId="564E2A84" w14:textId="77777777"/>
        </w:tc>
        <w:tc>
          <w:tcPr>
            <w:tcW w:w="146" w:type="pct"/>
            <w:tcMar/>
          </w:tcPr>
          <w:p w:rsidR="00B05447" w:rsidP="00C119DD" w:rsidRDefault="00B05447" w14:paraId="0FC1F422" w14:textId="77777777"/>
        </w:tc>
        <w:tc>
          <w:tcPr>
            <w:tcW w:w="147" w:type="pct"/>
            <w:tcMar/>
          </w:tcPr>
          <w:p w:rsidR="00B05447" w:rsidP="00C119DD" w:rsidRDefault="00B05447" w14:paraId="1EBF6F3B" w14:textId="77777777"/>
        </w:tc>
        <w:tc>
          <w:tcPr>
            <w:tcW w:w="146" w:type="pct"/>
            <w:tcMar/>
          </w:tcPr>
          <w:p w:rsidR="00B05447" w:rsidP="00C119DD" w:rsidRDefault="00B05447" w14:paraId="311AEAB9" w14:textId="77777777"/>
        </w:tc>
        <w:tc>
          <w:tcPr>
            <w:tcW w:w="146" w:type="pct"/>
            <w:tcMar/>
          </w:tcPr>
          <w:p w:rsidR="00B05447" w:rsidP="00C119DD" w:rsidRDefault="00B05447" w14:paraId="70AB8F33" w14:textId="77777777"/>
        </w:tc>
        <w:tc>
          <w:tcPr>
            <w:tcW w:w="148" w:type="pct"/>
            <w:tcMar/>
          </w:tcPr>
          <w:p w:rsidR="00B05447" w:rsidP="00C119DD" w:rsidRDefault="00B05447" w14:paraId="00A1891F" w14:textId="77777777"/>
        </w:tc>
        <w:tc>
          <w:tcPr>
            <w:tcW w:w="1133" w:type="pct"/>
            <w:tcMar/>
          </w:tcPr>
          <w:p w:rsidR="00B05447" w:rsidP="00C119DD" w:rsidRDefault="00B05447" w14:paraId="50162BD3" w14:textId="77777777"/>
        </w:tc>
      </w:tr>
      <w:tr w:rsidR="00B05447" w:rsidTr="5B3834DE" w14:paraId="1B5F1EE5" w14:textId="77777777">
        <w:tc>
          <w:tcPr>
            <w:tcW w:w="793" w:type="pct"/>
            <w:tcMar/>
          </w:tcPr>
          <w:p w:rsidR="00B05447" w:rsidP="00C119DD" w:rsidRDefault="00AB592A" w14:paraId="67DF3E2D" w14:textId="753FC156">
            <w:r w:rsidRPr="006D3AF5">
              <w:t>L</w:t>
            </w:r>
            <w:r w:rsidRPr="006D3AF5" w:rsidR="00053543">
              <w:t>edelse</w:t>
            </w:r>
            <w:r w:rsidRPr="006D3AF5" w:rsidR="00245752">
              <w:t xml:space="preserve"> som speiler samfunnet</w:t>
            </w:r>
          </w:p>
        </w:tc>
        <w:tc>
          <w:tcPr>
            <w:tcW w:w="1251" w:type="pct"/>
            <w:tcMar/>
          </w:tcPr>
          <w:p w:rsidR="00B05447" w:rsidP="00C119DD" w:rsidRDefault="00053543" w14:paraId="7A612AC5" w14:textId="4985139A">
            <w:r>
              <w:t>Arrangementet skal søke å ha sentral arrangementsledelse som speiler samfunnet</w:t>
            </w:r>
          </w:p>
        </w:tc>
        <w:tc>
          <w:tcPr>
            <w:tcW w:w="944" w:type="pct"/>
            <w:tcMar/>
          </w:tcPr>
          <w:p w:rsidR="00B05447" w:rsidP="00C119DD" w:rsidRDefault="00053543" w14:paraId="7CB2D361" w14:textId="77777777">
            <w:r>
              <w:t>Vurdering av organisasjonskart</w:t>
            </w:r>
          </w:p>
        </w:tc>
        <w:tc>
          <w:tcPr>
            <w:tcW w:w="146" w:type="pct"/>
            <w:tcMar/>
          </w:tcPr>
          <w:p w:rsidR="00B05447" w:rsidP="00C119DD" w:rsidRDefault="00B05447" w14:paraId="73642E57" w14:textId="77777777"/>
        </w:tc>
        <w:tc>
          <w:tcPr>
            <w:tcW w:w="146" w:type="pct"/>
            <w:tcMar/>
          </w:tcPr>
          <w:p w:rsidR="00B05447" w:rsidP="00C119DD" w:rsidRDefault="00B05447" w14:paraId="6552B46B" w14:textId="77777777"/>
        </w:tc>
        <w:tc>
          <w:tcPr>
            <w:tcW w:w="147" w:type="pct"/>
            <w:tcMar/>
          </w:tcPr>
          <w:p w:rsidR="00B05447" w:rsidP="00C119DD" w:rsidRDefault="00B05447" w14:paraId="30E04D9B" w14:textId="77777777"/>
        </w:tc>
        <w:tc>
          <w:tcPr>
            <w:tcW w:w="146" w:type="pct"/>
            <w:tcMar/>
          </w:tcPr>
          <w:p w:rsidR="00B05447" w:rsidP="00C119DD" w:rsidRDefault="00B05447" w14:paraId="280DF9E5" w14:textId="77777777"/>
        </w:tc>
        <w:tc>
          <w:tcPr>
            <w:tcW w:w="146" w:type="pct"/>
            <w:tcMar/>
          </w:tcPr>
          <w:p w:rsidR="00B05447" w:rsidP="00C119DD" w:rsidRDefault="00B05447" w14:paraId="3B387DB7" w14:textId="77777777"/>
        </w:tc>
        <w:tc>
          <w:tcPr>
            <w:tcW w:w="148" w:type="pct"/>
            <w:tcMar/>
          </w:tcPr>
          <w:p w:rsidR="00B05447" w:rsidP="00C119DD" w:rsidRDefault="00B05447" w14:paraId="013B9FD0" w14:textId="77777777"/>
        </w:tc>
        <w:tc>
          <w:tcPr>
            <w:tcW w:w="1133" w:type="pct"/>
            <w:tcMar/>
          </w:tcPr>
          <w:p w:rsidR="00B05447" w:rsidP="00C119DD" w:rsidRDefault="00B05447" w14:paraId="676EA93B" w14:textId="77777777"/>
        </w:tc>
      </w:tr>
      <w:tr w:rsidR="00702BC5" w:rsidTr="5B3834DE" w14:paraId="76C1761B" w14:textId="77777777">
        <w:tc>
          <w:tcPr>
            <w:tcW w:w="793" w:type="pct"/>
            <w:tcMar/>
          </w:tcPr>
          <w:p w:rsidR="00702BC5" w:rsidP="00C119DD" w:rsidRDefault="00702BC5" w14:paraId="3BEA5810" w14:textId="5C475EA8">
            <w:r>
              <w:t>Attraksjonsverdi</w:t>
            </w:r>
          </w:p>
        </w:tc>
        <w:tc>
          <w:tcPr>
            <w:tcW w:w="1251" w:type="pct"/>
            <w:tcMar/>
          </w:tcPr>
          <w:p w:rsidR="00702BC5" w:rsidP="00C119DD" w:rsidRDefault="00702BC5" w14:paraId="28411EDA" w14:textId="63C70E59">
            <w:r>
              <w:t>Arrangementer har ofte en positiv betydning for et steds attraksjonskraft, og den sosiale bærekraften i et samfunn er avhengig av at folk ønsker å bo der</w:t>
            </w:r>
          </w:p>
        </w:tc>
        <w:tc>
          <w:tcPr>
            <w:tcW w:w="944" w:type="pct"/>
            <w:tcMar/>
          </w:tcPr>
          <w:p w:rsidR="00702BC5" w:rsidP="00C119DD" w:rsidRDefault="00702BC5" w14:paraId="65495E25" w14:textId="04109E5E">
            <w:r>
              <w:t>Kvalitativ vurdering</w:t>
            </w:r>
          </w:p>
        </w:tc>
        <w:tc>
          <w:tcPr>
            <w:tcW w:w="146" w:type="pct"/>
            <w:tcMar/>
          </w:tcPr>
          <w:p w:rsidR="00702BC5" w:rsidP="00C119DD" w:rsidRDefault="00702BC5" w14:paraId="4AADA02F" w14:textId="77777777"/>
        </w:tc>
        <w:tc>
          <w:tcPr>
            <w:tcW w:w="146" w:type="pct"/>
            <w:tcMar/>
          </w:tcPr>
          <w:p w:rsidR="00702BC5" w:rsidP="00C119DD" w:rsidRDefault="00702BC5" w14:paraId="01E716C0" w14:textId="77777777"/>
        </w:tc>
        <w:tc>
          <w:tcPr>
            <w:tcW w:w="147" w:type="pct"/>
            <w:tcMar/>
          </w:tcPr>
          <w:p w:rsidR="00702BC5" w:rsidP="00C119DD" w:rsidRDefault="00702BC5" w14:paraId="196077E7" w14:textId="77777777"/>
        </w:tc>
        <w:tc>
          <w:tcPr>
            <w:tcW w:w="146" w:type="pct"/>
            <w:tcMar/>
          </w:tcPr>
          <w:p w:rsidR="00702BC5" w:rsidP="00C119DD" w:rsidRDefault="00702BC5" w14:paraId="24E49C95" w14:textId="77777777"/>
        </w:tc>
        <w:tc>
          <w:tcPr>
            <w:tcW w:w="146" w:type="pct"/>
            <w:tcMar/>
          </w:tcPr>
          <w:p w:rsidR="00702BC5" w:rsidP="00C119DD" w:rsidRDefault="00702BC5" w14:paraId="7157CB6E" w14:textId="77777777"/>
        </w:tc>
        <w:tc>
          <w:tcPr>
            <w:tcW w:w="148" w:type="pct"/>
            <w:tcMar/>
          </w:tcPr>
          <w:p w:rsidR="00702BC5" w:rsidP="00C119DD" w:rsidRDefault="00702BC5" w14:paraId="502429DB" w14:textId="77777777"/>
        </w:tc>
        <w:tc>
          <w:tcPr>
            <w:tcW w:w="1133" w:type="pct"/>
            <w:tcMar/>
          </w:tcPr>
          <w:p w:rsidR="00702BC5" w:rsidP="00C119DD" w:rsidRDefault="00702BC5" w14:paraId="166689CF" w14:textId="77777777"/>
        </w:tc>
      </w:tr>
      <w:tr w:rsidR="00B05447" w:rsidTr="5B3834DE" w14:paraId="1E012E44" w14:textId="77777777">
        <w:tc>
          <w:tcPr>
            <w:tcW w:w="793" w:type="pct"/>
            <w:tcMar/>
          </w:tcPr>
          <w:p w:rsidR="00B05447" w:rsidP="00C119DD" w:rsidRDefault="00B05447" w14:paraId="2B30E9B2" w14:textId="77777777">
            <w:r>
              <w:t>Kommunikasjon</w:t>
            </w:r>
          </w:p>
        </w:tc>
        <w:tc>
          <w:tcPr>
            <w:tcW w:w="1251" w:type="pct"/>
            <w:tcMar/>
          </w:tcPr>
          <w:p w:rsidR="00B05447" w:rsidP="00C119DD" w:rsidRDefault="00B05447" w14:paraId="0E82157A" w14:textId="77777777">
            <w:r>
              <w:t xml:space="preserve">Arrangementet skal ha en kommunikasjonsplan som gjør at bærekraftige løsninger blir godt kjent blant deltagere og tilskuere </w:t>
            </w:r>
          </w:p>
        </w:tc>
        <w:tc>
          <w:tcPr>
            <w:tcW w:w="944" w:type="pct"/>
            <w:tcMar/>
          </w:tcPr>
          <w:p w:rsidR="00B05447" w:rsidP="00C119DD" w:rsidRDefault="00B05447" w14:paraId="2F7EAB8F" w14:textId="77777777">
            <w:r>
              <w:t>Kvalitet på planen og på gjennomføringen</w:t>
            </w:r>
          </w:p>
        </w:tc>
        <w:tc>
          <w:tcPr>
            <w:tcW w:w="146" w:type="pct"/>
            <w:tcMar/>
          </w:tcPr>
          <w:p w:rsidR="00B05447" w:rsidP="00C119DD" w:rsidRDefault="00B05447" w14:paraId="2988564E" w14:textId="77777777"/>
        </w:tc>
        <w:tc>
          <w:tcPr>
            <w:tcW w:w="146" w:type="pct"/>
            <w:tcMar/>
          </w:tcPr>
          <w:p w:rsidR="00B05447" w:rsidP="00C119DD" w:rsidRDefault="00B05447" w14:paraId="6E63C181" w14:textId="77777777"/>
        </w:tc>
        <w:tc>
          <w:tcPr>
            <w:tcW w:w="147" w:type="pct"/>
            <w:tcMar/>
          </w:tcPr>
          <w:p w:rsidR="00B05447" w:rsidP="00C119DD" w:rsidRDefault="00B05447" w14:paraId="04036389" w14:textId="77777777"/>
        </w:tc>
        <w:tc>
          <w:tcPr>
            <w:tcW w:w="146" w:type="pct"/>
            <w:tcMar/>
          </w:tcPr>
          <w:p w:rsidR="00B05447" w:rsidP="00C119DD" w:rsidRDefault="00B05447" w14:paraId="110E2104" w14:textId="77777777"/>
        </w:tc>
        <w:tc>
          <w:tcPr>
            <w:tcW w:w="146" w:type="pct"/>
            <w:tcMar/>
          </w:tcPr>
          <w:p w:rsidR="00B05447" w:rsidP="00C119DD" w:rsidRDefault="00B05447" w14:paraId="66154A4D" w14:textId="77777777"/>
        </w:tc>
        <w:tc>
          <w:tcPr>
            <w:tcW w:w="148" w:type="pct"/>
            <w:tcMar/>
          </w:tcPr>
          <w:p w:rsidR="00B05447" w:rsidP="00C119DD" w:rsidRDefault="00B05447" w14:paraId="59D0607C" w14:textId="77777777"/>
        </w:tc>
        <w:tc>
          <w:tcPr>
            <w:tcW w:w="1133" w:type="pct"/>
            <w:tcMar/>
          </w:tcPr>
          <w:p w:rsidR="00B05447" w:rsidP="00C119DD" w:rsidRDefault="00B05447" w14:paraId="2A126032" w14:textId="77777777"/>
        </w:tc>
      </w:tr>
      <w:tr w:rsidR="00D13006" w:rsidTr="5B3834DE" w14:paraId="37CD4229" w14:textId="77777777">
        <w:tc>
          <w:tcPr>
            <w:tcW w:w="793" w:type="pct"/>
            <w:tcMar/>
          </w:tcPr>
          <w:p w:rsidR="00D13006" w:rsidP="00C119DD" w:rsidRDefault="005D6E03" w14:paraId="47A02E8F" w14:textId="5828540D">
            <w:r>
              <w:t>HMS</w:t>
            </w:r>
          </w:p>
        </w:tc>
        <w:tc>
          <w:tcPr>
            <w:tcW w:w="1251" w:type="pct"/>
            <w:tcMar/>
          </w:tcPr>
          <w:p w:rsidR="00D13006" w:rsidP="00C119DD" w:rsidRDefault="005D6E03" w14:paraId="6726F9AA" w14:textId="15147FEE">
            <w:r>
              <w:t>Helse, miljø</w:t>
            </w:r>
            <w:r w:rsidR="003354DD">
              <w:t>, s</w:t>
            </w:r>
            <w:r>
              <w:t xml:space="preserve">ikkerhet </w:t>
            </w:r>
            <w:r w:rsidR="003354DD">
              <w:t>skal ivaretas på alle arrangement</w:t>
            </w:r>
            <w:r w:rsidR="00D7097F">
              <w:t xml:space="preserve">. Ofte som egen plan med </w:t>
            </w:r>
            <w:r w:rsidR="002C4FD9">
              <w:t>egen ansvarlig</w:t>
            </w:r>
          </w:p>
        </w:tc>
        <w:tc>
          <w:tcPr>
            <w:tcW w:w="944" w:type="pct"/>
            <w:tcMar/>
          </w:tcPr>
          <w:p w:rsidR="00D13006" w:rsidP="00C119DD" w:rsidRDefault="003354DD" w14:paraId="12E3B59C" w14:textId="774B1B13">
            <w:r w:rsidR="2767B85F">
              <w:rPr/>
              <w:t>Kvalitet</w:t>
            </w:r>
            <w:r w:rsidR="5910EB1B">
              <w:rPr/>
              <w:t xml:space="preserve"> på planen. Hvordan er hms-arbeid organisert?</w:t>
            </w:r>
            <w:r w:rsidR="29264C74">
              <w:rPr/>
              <w:t xml:space="preserve"> </w:t>
            </w:r>
          </w:p>
          <w:p w:rsidR="00D13006" w:rsidP="5B3834DE" w:rsidRDefault="003354DD" w14:paraId="5D44E72B" w14:textId="6C4DC589">
            <w:pPr>
              <w:pStyle w:val="Normal"/>
            </w:pPr>
            <w:r w:rsidR="6317207E">
              <w:rPr/>
              <w:t>Beskrive beredskapstiltak</w:t>
            </w:r>
          </w:p>
        </w:tc>
        <w:tc>
          <w:tcPr>
            <w:tcW w:w="146" w:type="pct"/>
            <w:tcMar/>
          </w:tcPr>
          <w:p w:rsidR="00D13006" w:rsidP="00C119DD" w:rsidRDefault="00D13006" w14:paraId="3765327D" w14:textId="77777777"/>
        </w:tc>
        <w:tc>
          <w:tcPr>
            <w:tcW w:w="146" w:type="pct"/>
            <w:tcMar/>
          </w:tcPr>
          <w:p w:rsidR="00D13006" w:rsidP="00C119DD" w:rsidRDefault="00D13006" w14:paraId="404EC565" w14:textId="77777777"/>
        </w:tc>
        <w:tc>
          <w:tcPr>
            <w:tcW w:w="147" w:type="pct"/>
            <w:tcMar/>
          </w:tcPr>
          <w:p w:rsidR="00D13006" w:rsidP="00C119DD" w:rsidRDefault="00D13006" w14:paraId="28F78152" w14:textId="77777777"/>
        </w:tc>
        <w:tc>
          <w:tcPr>
            <w:tcW w:w="146" w:type="pct"/>
            <w:tcMar/>
          </w:tcPr>
          <w:p w:rsidR="00D13006" w:rsidP="00C119DD" w:rsidRDefault="00D13006" w14:paraId="3A28E129" w14:textId="77777777"/>
        </w:tc>
        <w:tc>
          <w:tcPr>
            <w:tcW w:w="146" w:type="pct"/>
            <w:tcMar/>
          </w:tcPr>
          <w:p w:rsidR="00D13006" w:rsidP="00C119DD" w:rsidRDefault="00D13006" w14:paraId="4D52A87A" w14:textId="77777777"/>
        </w:tc>
        <w:tc>
          <w:tcPr>
            <w:tcW w:w="148" w:type="pct"/>
            <w:tcMar/>
          </w:tcPr>
          <w:p w:rsidR="00D13006" w:rsidP="00C119DD" w:rsidRDefault="00D13006" w14:paraId="77162E34" w14:textId="77777777"/>
        </w:tc>
        <w:tc>
          <w:tcPr>
            <w:tcW w:w="1133" w:type="pct"/>
            <w:tcMar/>
          </w:tcPr>
          <w:p w:rsidR="00D13006" w:rsidP="00C119DD" w:rsidRDefault="00D13006" w14:paraId="28F77196" w14:textId="77777777"/>
        </w:tc>
      </w:tr>
    </w:tbl>
    <w:p w:rsidR="0091332E" w:rsidP="00954D23" w:rsidRDefault="0091332E" w14:paraId="2E58A0D9" w14:textId="470B81DB"/>
    <w:sectPr w:rsidR="0091332E" w:rsidSect="00794BA9">
      <w:type w:val="continuous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445" w:rsidP="00577DA6" w:rsidRDefault="00AF5445" w14:paraId="437BE240" w14:textId="77777777">
      <w:r>
        <w:separator/>
      </w:r>
    </w:p>
  </w:endnote>
  <w:endnote w:type="continuationSeparator" w:id="0">
    <w:p w:rsidR="00AF5445" w:rsidP="00577DA6" w:rsidRDefault="00AF5445" w14:paraId="54C8BDCC" w14:textId="77777777">
      <w:r>
        <w:continuationSeparator/>
      </w:r>
    </w:p>
  </w:endnote>
  <w:endnote w:type="continuationNotice" w:id="1">
    <w:p w:rsidR="00AF5445" w:rsidRDefault="00AF5445" w14:paraId="3549281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445" w:rsidP="00577DA6" w:rsidRDefault="00AF5445" w14:paraId="151F515B" w14:textId="77777777">
      <w:r>
        <w:separator/>
      </w:r>
    </w:p>
  </w:footnote>
  <w:footnote w:type="continuationSeparator" w:id="0">
    <w:p w:rsidR="00AF5445" w:rsidP="00577DA6" w:rsidRDefault="00AF5445" w14:paraId="02C2AEF3" w14:textId="77777777">
      <w:r>
        <w:continuationSeparator/>
      </w:r>
    </w:p>
  </w:footnote>
  <w:footnote w:type="continuationNotice" w:id="1">
    <w:p w:rsidR="00AF5445" w:rsidRDefault="00AF5445" w14:paraId="7E9719A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A43"/>
    <w:multiLevelType w:val="hybridMultilevel"/>
    <w:tmpl w:val="6B7E1AE8"/>
    <w:lvl w:ilvl="0" w:tplc="2FC89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4573"/>
    <w:multiLevelType w:val="hybridMultilevel"/>
    <w:tmpl w:val="0DA4926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783501"/>
    <w:multiLevelType w:val="hybridMultilevel"/>
    <w:tmpl w:val="3BBC14E6"/>
    <w:lvl w:ilvl="0" w:tplc="3FE0064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B2362C"/>
    <w:multiLevelType w:val="hybridMultilevel"/>
    <w:tmpl w:val="E8A0F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B56C7"/>
    <w:multiLevelType w:val="hybridMultilevel"/>
    <w:tmpl w:val="9A38F8FA"/>
    <w:lvl w:ilvl="0" w:tplc="1E84F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7B80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56AA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6A8F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B94C3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6FA1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61A2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800D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05F26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6F"/>
    <w:rsid w:val="00022667"/>
    <w:rsid w:val="00027E80"/>
    <w:rsid w:val="00053543"/>
    <w:rsid w:val="00072167"/>
    <w:rsid w:val="00085707"/>
    <w:rsid w:val="000A1E53"/>
    <w:rsid w:val="000B6D18"/>
    <w:rsid w:val="000C147F"/>
    <w:rsid w:val="000D2FB7"/>
    <w:rsid w:val="00102F29"/>
    <w:rsid w:val="00124967"/>
    <w:rsid w:val="001354E3"/>
    <w:rsid w:val="00137269"/>
    <w:rsid w:val="00185682"/>
    <w:rsid w:val="00185A87"/>
    <w:rsid w:val="00191B65"/>
    <w:rsid w:val="001B62D3"/>
    <w:rsid w:val="001B667D"/>
    <w:rsid w:val="001D1AAE"/>
    <w:rsid w:val="001E35D3"/>
    <w:rsid w:val="001F6F04"/>
    <w:rsid w:val="0020766F"/>
    <w:rsid w:val="0022679B"/>
    <w:rsid w:val="002359AC"/>
    <w:rsid w:val="00244624"/>
    <w:rsid w:val="00245752"/>
    <w:rsid w:val="00255EA8"/>
    <w:rsid w:val="00260071"/>
    <w:rsid w:val="00284705"/>
    <w:rsid w:val="002A244A"/>
    <w:rsid w:val="002B748D"/>
    <w:rsid w:val="002C4FD9"/>
    <w:rsid w:val="00312964"/>
    <w:rsid w:val="003129FC"/>
    <w:rsid w:val="003225EC"/>
    <w:rsid w:val="00323256"/>
    <w:rsid w:val="00323ADD"/>
    <w:rsid w:val="00333513"/>
    <w:rsid w:val="003349AC"/>
    <w:rsid w:val="003354DD"/>
    <w:rsid w:val="00335562"/>
    <w:rsid w:val="00383611"/>
    <w:rsid w:val="003C3B0E"/>
    <w:rsid w:val="003E442B"/>
    <w:rsid w:val="00411F54"/>
    <w:rsid w:val="004311B6"/>
    <w:rsid w:val="0043220F"/>
    <w:rsid w:val="00433EFB"/>
    <w:rsid w:val="00437AB0"/>
    <w:rsid w:val="00441434"/>
    <w:rsid w:val="00444984"/>
    <w:rsid w:val="004474A6"/>
    <w:rsid w:val="00463C0F"/>
    <w:rsid w:val="004751EF"/>
    <w:rsid w:val="00475679"/>
    <w:rsid w:val="00482F2B"/>
    <w:rsid w:val="00485E7D"/>
    <w:rsid w:val="004B1DDC"/>
    <w:rsid w:val="004B6AA6"/>
    <w:rsid w:val="004C0ED9"/>
    <w:rsid w:val="004C3DBD"/>
    <w:rsid w:val="004D6EE1"/>
    <w:rsid w:val="004E60AA"/>
    <w:rsid w:val="005015AD"/>
    <w:rsid w:val="005027F0"/>
    <w:rsid w:val="00502883"/>
    <w:rsid w:val="00505A87"/>
    <w:rsid w:val="00506D68"/>
    <w:rsid w:val="00527647"/>
    <w:rsid w:val="00533C8D"/>
    <w:rsid w:val="00546E5B"/>
    <w:rsid w:val="00553E2E"/>
    <w:rsid w:val="00577DA6"/>
    <w:rsid w:val="005906CF"/>
    <w:rsid w:val="005A390C"/>
    <w:rsid w:val="005B6175"/>
    <w:rsid w:val="005B6B54"/>
    <w:rsid w:val="005B75A8"/>
    <w:rsid w:val="005C52EB"/>
    <w:rsid w:val="005C6F25"/>
    <w:rsid w:val="005D6E03"/>
    <w:rsid w:val="005F3BD3"/>
    <w:rsid w:val="005F58BF"/>
    <w:rsid w:val="006A5612"/>
    <w:rsid w:val="006A6704"/>
    <w:rsid w:val="006B1884"/>
    <w:rsid w:val="006C1A1F"/>
    <w:rsid w:val="006C3E60"/>
    <w:rsid w:val="006D206C"/>
    <w:rsid w:val="006D3AF5"/>
    <w:rsid w:val="006E4E4C"/>
    <w:rsid w:val="006F107F"/>
    <w:rsid w:val="00702BC5"/>
    <w:rsid w:val="00711A82"/>
    <w:rsid w:val="00722870"/>
    <w:rsid w:val="007638BB"/>
    <w:rsid w:val="0078129B"/>
    <w:rsid w:val="00794BA9"/>
    <w:rsid w:val="007A11E0"/>
    <w:rsid w:val="007B1393"/>
    <w:rsid w:val="007E2086"/>
    <w:rsid w:val="007F5A7E"/>
    <w:rsid w:val="007F5B5A"/>
    <w:rsid w:val="007F6EF2"/>
    <w:rsid w:val="00814DC1"/>
    <w:rsid w:val="00836825"/>
    <w:rsid w:val="00847633"/>
    <w:rsid w:val="00856FD0"/>
    <w:rsid w:val="008801F4"/>
    <w:rsid w:val="00886A7C"/>
    <w:rsid w:val="008959A9"/>
    <w:rsid w:val="00897766"/>
    <w:rsid w:val="008A1040"/>
    <w:rsid w:val="008B34C6"/>
    <w:rsid w:val="008C0BDA"/>
    <w:rsid w:val="009115D1"/>
    <w:rsid w:val="0091332E"/>
    <w:rsid w:val="0091698C"/>
    <w:rsid w:val="00954D23"/>
    <w:rsid w:val="0095513B"/>
    <w:rsid w:val="00965629"/>
    <w:rsid w:val="00967C06"/>
    <w:rsid w:val="00967DC4"/>
    <w:rsid w:val="00975586"/>
    <w:rsid w:val="00993A88"/>
    <w:rsid w:val="009A6C8B"/>
    <w:rsid w:val="009F3536"/>
    <w:rsid w:val="00A34BBE"/>
    <w:rsid w:val="00A47427"/>
    <w:rsid w:val="00A60147"/>
    <w:rsid w:val="00A67F6D"/>
    <w:rsid w:val="00A9323B"/>
    <w:rsid w:val="00AA5D73"/>
    <w:rsid w:val="00AA659D"/>
    <w:rsid w:val="00AB0451"/>
    <w:rsid w:val="00AB592A"/>
    <w:rsid w:val="00AC45FD"/>
    <w:rsid w:val="00AE28D7"/>
    <w:rsid w:val="00AF5445"/>
    <w:rsid w:val="00B05447"/>
    <w:rsid w:val="00B241F1"/>
    <w:rsid w:val="00B64092"/>
    <w:rsid w:val="00B65092"/>
    <w:rsid w:val="00B67045"/>
    <w:rsid w:val="00B810CC"/>
    <w:rsid w:val="00BB6CCA"/>
    <w:rsid w:val="00BB74A5"/>
    <w:rsid w:val="00BC3C6F"/>
    <w:rsid w:val="00BC50F4"/>
    <w:rsid w:val="00BF5C37"/>
    <w:rsid w:val="00C119DD"/>
    <w:rsid w:val="00C46C08"/>
    <w:rsid w:val="00C5142C"/>
    <w:rsid w:val="00C808AE"/>
    <w:rsid w:val="00CA0E5F"/>
    <w:rsid w:val="00CC3D5C"/>
    <w:rsid w:val="00CC733E"/>
    <w:rsid w:val="00CD0658"/>
    <w:rsid w:val="00CE463A"/>
    <w:rsid w:val="00CF182B"/>
    <w:rsid w:val="00CF2803"/>
    <w:rsid w:val="00D00D16"/>
    <w:rsid w:val="00D07220"/>
    <w:rsid w:val="00D13006"/>
    <w:rsid w:val="00D20A7D"/>
    <w:rsid w:val="00D26D99"/>
    <w:rsid w:val="00D541DA"/>
    <w:rsid w:val="00D631D5"/>
    <w:rsid w:val="00D7097F"/>
    <w:rsid w:val="00D84B4F"/>
    <w:rsid w:val="00DC178A"/>
    <w:rsid w:val="00DC6606"/>
    <w:rsid w:val="00DD6240"/>
    <w:rsid w:val="00DE5D38"/>
    <w:rsid w:val="00E06D2A"/>
    <w:rsid w:val="00E11605"/>
    <w:rsid w:val="00E17277"/>
    <w:rsid w:val="00E452A0"/>
    <w:rsid w:val="00E703B0"/>
    <w:rsid w:val="00E75CB7"/>
    <w:rsid w:val="00E96CA1"/>
    <w:rsid w:val="00EB0756"/>
    <w:rsid w:val="00F5027E"/>
    <w:rsid w:val="00F63996"/>
    <w:rsid w:val="00F70CCD"/>
    <w:rsid w:val="00FD694D"/>
    <w:rsid w:val="00FE6A8F"/>
    <w:rsid w:val="0EC45529"/>
    <w:rsid w:val="1672120B"/>
    <w:rsid w:val="1AA728B3"/>
    <w:rsid w:val="2767B85F"/>
    <w:rsid w:val="29264C74"/>
    <w:rsid w:val="39A50B68"/>
    <w:rsid w:val="3D7413DB"/>
    <w:rsid w:val="40E97A30"/>
    <w:rsid w:val="458F022F"/>
    <w:rsid w:val="50325E3C"/>
    <w:rsid w:val="5551914F"/>
    <w:rsid w:val="57494887"/>
    <w:rsid w:val="582447C4"/>
    <w:rsid w:val="588BF90E"/>
    <w:rsid w:val="5910EB1B"/>
    <w:rsid w:val="5B3834DE"/>
    <w:rsid w:val="5EB9BF05"/>
    <w:rsid w:val="60842A34"/>
    <w:rsid w:val="613C1CFF"/>
    <w:rsid w:val="62E06EEB"/>
    <w:rsid w:val="6317207E"/>
    <w:rsid w:val="7D8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71D1"/>
  <w15:chartTrackingRefBased/>
  <w15:docId w15:val="{D687A9F8-82E0-4566-963E-8C049C3E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4D2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2F2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3C6F"/>
    <w:pPr>
      <w:ind w:left="720"/>
      <w:contextualSpacing/>
    </w:pPr>
  </w:style>
  <w:style w:type="table" w:styleId="Tabellrutenett">
    <w:name w:val="Table Grid"/>
    <w:basedOn w:val="Vanligtabell"/>
    <w:uiPriority w:val="39"/>
    <w:rsid w:val="00577D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7DA6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577DA6"/>
  </w:style>
  <w:style w:type="paragraph" w:styleId="Bunntekst">
    <w:name w:val="footer"/>
    <w:basedOn w:val="Normal"/>
    <w:link w:val="BunntekstTegn"/>
    <w:uiPriority w:val="99"/>
    <w:unhideWhenUsed/>
    <w:rsid w:val="00577DA6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577DA6"/>
  </w:style>
  <w:style w:type="character" w:styleId="Overskrift2Tegn" w:customStyle="1">
    <w:name w:val="Overskrift 2 Tegn"/>
    <w:basedOn w:val="Standardskriftforavsnitt"/>
    <w:link w:val="Overskrift2"/>
    <w:uiPriority w:val="9"/>
    <w:rsid w:val="00482F2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2F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2F2B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482F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2F2B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482F2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2F2B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82F2B"/>
    <w:rPr>
      <w:rFonts w:ascii="Segoe UI" w:hAnsi="Segoe UI" w:cs="Segoe UI"/>
      <w:sz w:val="18"/>
      <w:szCs w:val="18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954D2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cid:image002.png@01D500D7.E26EAB90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fee.no/miljgodkjent-arrangement" TargetMode="Externa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AF0EF535BCE349A447E524D99E42FF" ma:contentTypeVersion="2" ma:contentTypeDescription="Opprett et nytt dokument." ma:contentTypeScope="" ma:versionID="4ba5ffccf0fa587551fa9a8654b181a1">
  <xsd:schema xmlns:xsd="http://www.w3.org/2001/XMLSchema" xmlns:xs="http://www.w3.org/2001/XMLSchema" xmlns:p="http://schemas.microsoft.com/office/2006/metadata/properties" xmlns:ns2="b6af6395-7e74-4bf2-9648-99ad5d3281e8" targetNamespace="http://schemas.microsoft.com/office/2006/metadata/properties" ma:root="true" ma:fieldsID="0c3e5e1f2fedc7c0c45ee30b395b97f8" ns2:_="">
    <xsd:import namespace="b6af6395-7e74-4bf2-9648-99ad5d328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6395-7e74-4bf2-9648-99ad5d328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55C7-BAD8-497E-8019-63F7BDF7B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A6D1E-0682-4879-AE7E-7BBFD7EC3690}"/>
</file>

<file path=customXml/itemProps3.xml><?xml version="1.0" encoding="utf-8"?>
<ds:datastoreItem xmlns:ds="http://schemas.openxmlformats.org/officeDocument/2006/customXml" ds:itemID="{3DB8EC4A-5EE1-408B-9488-7AC3AAE44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5235C-857A-4197-A396-D3DF201031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Stein B. Olsen</dc:creator>
  <keywords/>
  <dc:description/>
  <lastModifiedBy>Øivind Pedersen</lastModifiedBy>
  <revision>42</revision>
  <lastPrinted>2020-08-25T19:46:00.0000000Z</lastPrinted>
  <dcterms:created xsi:type="dcterms:W3CDTF">2020-09-17T08:26:00.0000000Z</dcterms:created>
  <dcterms:modified xsi:type="dcterms:W3CDTF">2021-07-20T08:29:46.7378270Z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0x0101009BAF0EF535BCE349A447E524D99E42FF</vt:lpwstr>
  </property>
  <property fmtid="{D5CDD505-2E9C-101B-9397-08002B2CF9AE}" pid="3" name="ESA Id">
    <vt:lpwstr>20022347-20024212-P-1-B-R-DOK-S-4-0</vt:lpwstr>
  </property>
  <property fmtid="{D5CDD505-2E9C-101B-9397-08002B2CF9AE}" pid="4" name="ESA Connect">
    <vt:lpwstr>Pio-LL,oiPhsa/e9e9r2a0g-,f4-1aZfloa/FpZtU,M8UHMdgrMsIaMek0M0p:a21wTgJoTmpsOfN/U:ltRhl0SlwEQWZRQ0lvT0pRdGZWZTFqQk9NSlFrYWRPVFRERlRZTnFXazpHTUJxaUUz,2t2p1/DoVfpak-zfE-t0U2H9D90/DsxwjP2ozL4-T36h2th:G/yfWs,m0o2gewa2h:i0,0geaarredHHdur</vt:lpwstr>
  </property>
  <property fmtid="{D5CDD505-2E9C-101B-9397-08002B2CF9AE}" pid="5" name="ESA Timestamp">
    <vt:lpwstr>10.03.2020 08.43.32</vt:lpwstr>
  </property>
  <property fmtid="{D5CDD505-2E9C-101B-9397-08002B2CF9AE}" pid="6" name="eSakWebDavMac">
    <vt:lpwstr>20024212.docx</vt:lpwstr>
  </property>
  <property fmtid="{D5CDD505-2E9C-101B-9397-08002B2CF9AE}" pid="7" name="eSakWebDavUrl">
    <vt:lpwstr>/20024212.docx</vt:lpwstr>
  </property>
  <property fmtid="{D5CDD505-2E9C-101B-9397-08002B2CF9AE}" pid="8" name="eSakOppgaver-1">
    <vt:lpwstr>-1|0|0|Arkiver og lukk@139|1|0|Saksframlegget er egengodkjent@133|0|1|Saksframlegget sendes kommunalsjef for godkjenning@138|0|0|Saksframlegget sendes leder for godkjenning</vt:lpwstr>
  </property>
  <property fmtid="{D5CDD505-2E9C-101B-9397-08002B2CF9AE}" pid="9" name="ESA Filnavn">
    <vt:lpwstr>h:\temp\2020 BÆREKRAFT KRITERIER.DOCX.S</vt:lpwstr>
  </property>
</Properties>
</file>